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A257A4" w:rsidP="005A13D5">
            <w:pPr>
              <w:jc w:val="center"/>
              <w:rPr>
                <w:rFonts w:ascii="Arial" w:hAnsi="Arial" w:cs="Arial"/>
                <w:b/>
                <w:color w:val="0000FF"/>
              </w:rPr>
            </w:pPr>
            <w:r>
              <w:rPr>
                <w:rFonts w:ascii="Arial" w:hAnsi="Arial" w:cs="Arial"/>
                <w:b/>
                <w:color w:val="0000FF"/>
                <w:sz w:val="28"/>
              </w:rPr>
              <w:t>11906</w:t>
            </w:r>
            <w:r w:rsidR="005A13D5">
              <w:rPr>
                <w:rFonts w:ascii="Arial" w:hAnsi="Arial" w:cs="Arial"/>
                <w:b/>
                <w:color w:val="0000FF"/>
                <w:sz w:val="28"/>
              </w:rPr>
              <w:t>8</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7D44F9" w:rsidP="00173A67">
            <w:pPr>
              <w:jc w:val="center"/>
              <w:rPr>
                <w:rFonts w:ascii="Arial" w:hAnsi="Arial" w:cs="Arial"/>
                <w:b/>
                <w:color w:val="0000FF"/>
              </w:rPr>
            </w:pPr>
            <w:r>
              <w:rPr>
                <w:rFonts w:ascii="Arial" w:hAnsi="Arial" w:cs="Arial"/>
                <w:b/>
                <w:color w:val="0000FF"/>
                <w:sz w:val="28"/>
              </w:rPr>
              <w:t>Varonis Maintenance</w:t>
            </w:r>
            <w:r w:rsidR="00A257A4">
              <w:rPr>
                <w:rFonts w:ascii="Arial" w:hAnsi="Arial" w:cs="Arial"/>
                <w:b/>
                <w:color w:val="0000FF"/>
                <w:sz w:val="28"/>
              </w:rPr>
              <w:t xml:space="preserve"> &amp; Support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A257A4" w:rsidP="00173A67">
            <w:pPr>
              <w:pStyle w:val="Heading7"/>
              <w:rPr>
                <w:color w:val="0000FF"/>
                <w:sz w:val="32"/>
              </w:rPr>
            </w:pPr>
            <w:r>
              <w:rPr>
                <w:color w:val="0000FF"/>
                <w:sz w:val="32"/>
              </w:rPr>
              <w:t xml:space="preserve">June </w:t>
            </w:r>
            <w:r w:rsidR="007D44F9">
              <w:rPr>
                <w:color w:val="0000FF"/>
                <w:sz w:val="32"/>
              </w:rPr>
              <w:t>2</w:t>
            </w:r>
            <w:r>
              <w:rPr>
                <w:color w:val="0000FF"/>
                <w:sz w:val="32"/>
              </w:rPr>
              <w:t>5, 2019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A257A4">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A257A4" w:rsidP="00173A67">
            <w:pPr>
              <w:rPr>
                <w:rFonts w:ascii="Arial" w:hAnsi="Arial" w:cs="Arial"/>
              </w:rPr>
            </w:pPr>
            <w:r>
              <w:rPr>
                <w:rFonts w:ascii="Arial" w:hAnsi="Arial" w:cs="Arial"/>
              </w:rPr>
              <w:t>Carolyn A.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A257A4"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E877B5" w:rsidP="00173A67">
            <w:pPr>
              <w:rPr>
                <w:rFonts w:ascii="Arial" w:hAnsi="Arial" w:cs="Arial"/>
              </w:rPr>
            </w:pPr>
            <w:hyperlink r:id="rId9" w:history="1">
              <w:r w:rsidR="00A257A4" w:rsidRPr="000A5771">
                <w:rPr>
                  <w:rStyle w:val="Hyperlink"/>
                  <w:rFonts w:ascii="Arial" w:hAnsi="Arial" w:cs="Arial"/>
                </w:rPr>
                <w:t>Clow.carolyn@countyofdane.com</w:t>
              </w:r>
            </w:hyperlink>
            <w:r w:rsidR="00A257A4">
              <w:rPr>
                <w:rFonts w:ascii="Arial" w:hAnsi="Arial" w:cs="Arial"/>
              </w:rPr>
              <w:t xml:space="preserve"> </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E877B5"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7D44F9">
            <w:pPr>
              <w:rPr>
                <w:rFonts w:ascii="Arial" w:hAnsi="Arial" w:cs="Arial"/>
              </w:rPr>
            </w:pPr>
            <w:r>
              <w:rPr>
                <w:rFonts w:ascii="Arial" w:hAnsi="Arial" w:cs="Arial"/>
                <w:b/>
                <w:bCs/>
                <w:sz w:val="20"/>
              </w:rPr>
              <w:t xml:space="preserve">DATE BID ISSUED:  </w:t>
            </w:r>
            <w:r w:rsidR="00A257A4">
              <w:rPr>
                <w:rFonts w:ascii="Arial" w:hAnsi="Arial" w:cs="Arial"/>
                <w:b/>
                <w:bCs/>
                <w:sz w:val="20"/>
              </w:rPr>
              <w:t xml:space="preserve">May </w:t>
            </w:r>
            <w:r w:rsidR="007D44F9">
              <w:rPr>
                <w:rFonts w:ascii="Arial" w:hAnsi="Arial" w:cs="Arial"/>
                <w:b/>
                <w:bCs/>
                <w:sz w:val="20"/>
              </w:rPr>
              <w:t>28</w:t>
            </w:r>
            <w:r w:rsidR="00A257A4">
              <w:rPr>
                <w:rFonts w:ascii="Arial" w:hAnsi="Arial" w:cs="Arial"/>
                <w:b/>
                <w:bCs/>
                <w:sz w:val="20"/>
              </w:rPr>
              <w:t>,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6"/>
        <w:gridCol w:w="5438"/>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982D86">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w:t>
            </w:r>
            <w:r w:rsidR="00982D86">
              <w:rPr>
                <w:rFonts w:ascii="Arial" w:hAnsi="Arial" w:cs="Arial"/>
              </w:rPr>
              <w:t xml:space="preserve"> </w:t>
            </w:r>
            <w:r w:rsidR="00307E3B" w:rsidRPr="00F931CE">
              <w:rPr>
                <w:rFonts w:ascii="Arial" w:hAnsi="Arial" w:cs="Arial"/>
              </w:rPr>
              <w:t>Price Proposal</w:t>
            </w:r>
          </w:p>
          <w:p w:rsidR="00307E3B" w:rsidRPr="00307E3B" w:rsidRDefault="00F931CE" w:rsidP="00982D86">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w:t>
            </w:r>
            <w:r w:rsidR="00982D86">
              <w:rPr>
                <w:rFonts w:ascii="Arial" w:hAnsi="Arial" w:cs="Arial"/>
              </w:rPr>
              <w:t>4</w:t>
            </w:r>
            <w:r w:rsidR="00307E3B" w:rsidRPr="00F931CE">
              <w:rPr>
                <w:rFonts w:ascii="Arial" w:hAnsi="Arial" w:cs="Arial"/>
              </w:rPr>
              <w:t xml:space="preserve">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A257A4">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E877B5"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BC4F4A">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cols w:space="720"/>
          <w:docGrid w:linePitch="326"/>
        </w:sectPr>
      </w:pPr>
    </w:p>
    <w:p w:rsidR="00A257A4" w:rsidRDefault="00A257A4" w:rsidP="00D30D08">
      <w:pPr>
        <w:jc w:val="center"/>
        <w:rPr>
          <w:rFonts w:ascii="Arial" w:hAnsi="Arial" w:cs="Arial"/>
          <w:b/>
        </w:rPr>
      </w:pPr>
    </w:p>
    <w:p w:rsidR="00BC4F4A" w:rsidRDefault="00BC4F4A" w:rsidP="00BC4F4A">
      <w:pPr>
        <w:rPr>
          <w:rFonts w:ascii="Arial" w:hAnsi="Arial" w:cs="Arial"/>
          <w:b/>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C4F4A" w:rsidRPr="00D1099C" w:rsidTr="00CE5BC7">
        <w:trPr>
          <w:cantSplit/>
          <w:tblCellSpacing w:w="20" w:type="dxa"/>
          <w:jc w:val="center"/>
        </w:trPr>
        <w:tc>
          <w:tcPr>
            <w:tcW w:w="10720" w:type="dxa"/>
            <w:gridSpan w:val="2"/>
            <w:shd w:val="clear" w:color="auto" w:fill="E6E6E6"/>
            <w:vAlign w:val="center"/>
          </w:tcPr>
          <w:p w:rsidR="00BC4F4A" w:rsidRPr="00D1099C" w:rsidRDefault="00BC4F4A" w:rsidP="00CE5BC7">
            <w:pPr>
              <w:jc w:val="center"/>
              <w:rPr>
                <w:rFonts w:ascii="Arial" w:hAnsi="Arial" w:cs="Arial"/>
                <w:b/>
                <w:bCs/>
                <w:sz w:val="28"/>
              </w:rPr>
            </w:pPr>
            <w:r>
              <w:rPr>
                <w:rFonts w:ascii="Arial" w:hAnsi="Arial" w:cs="Arial"/>
                <w:b/>
                <w:bCs/>
                <w:sz w:val="28"/>
              </w:rPr>
              <w:t>PRICE PROPOSAL</w:t>
            </w:r>
          </w:p>
        </w:tc>
      </w:tr>
      <w:tr w:rsidR="00BC4F4A" w:rsidRPr="008711EE" w:rsidTr="00CE5BC7">
        <w:trPr>
          <w:trHeight w:val="559"/>
          <w:tblCellSpacing w:w="20" w:type="dxa"/>
          <w:jc w:val="center"/>
        </w:trPr>
        <w:tc>
          <w:tcPr>
            <w:tcW w:w="2370" w:type="dxa"/>
            <w:shd w:val="clear" w:color="auto" w:fill="E6E6E6"/>
            <w:vAlign w:val="center"/>
          </w:tcPr>
          <w:p w:rsidR="00BC4F4A" w:rsidRPr="00065A89" w:rsidRDefault="00BC4F4A" w:rsidP="00CE5BC7">
            <w:pPr>
              <w:pStyle w:val="Heading2"/>
              <w:jc w:val="center"/>
              <w:rPr>
                <w:sz w:val="22"/>
                <w:szCs w:val="22"/>
              </w:rPr>
            </w:pPr>
            <w:r>
              <w:rPr>
                <w:szCs w:val="22"/>
              </w:rPr>
              <w:t>VENDOR</w:t>
            </w:r>
            <w:r w:rsidRPr="008711EE">
              <w:rPr>
                <w:szCs w:val="22"/>
              </w:rPr>
              <w:t xml:space="preserve"> NAME:</w:t>
            </w:r>
          </w:p>
        </w:tc>
        <w:tc>
          <w:tcPr>
            <w:tcW w:w="8310" w:type="dxa"/>
            <w:vAlign w:val="center"/>
          </w:tcPr>
          <w:p w:rsidR="00BC4F4A" w:rsidRPr="008711EE" w:rsidRDefault="00BC4F4A" w:rsidP="00CE5BC7">
            <w:pPr>
              <w:pStyle w:val="Level2"/>
              <w:widowControl/>
              <w:ind w:left="397"/>
              <w:rPr>
                <w:rFonts w:ascii="Arial" w:hAnsi="Arial" w:cs="Arial"/>
                <w:b/>
                <w:szCs w:val="24"/>
              </w:rPr>
            </w:pPr>
          </w:p>
        </w:tc>
      </w:tr>
    </w:tbl>
    <w:p w:rsidR="00BC4F4A" w:rsidRDefault="00BC4F4A" w:rsidP="00D30D08">
      <w:pPr>
        <w:jc w:val="center"/>
        <w:rPr>
          <w:rFonts w:ascii="Arial" w:hAnsi="Arial" w:cs="Arial"/>
          <w:b/>
        </w:rPr>
      </w:pPr>
    </w:p>
    <w:p w:rsidR="00BC4F4A" w:rsidRDefault="00BC4F4A" w:rsidP="00D30D08">
      <w:pPr>
        <w:jc w:val="center"/>
        <w:rPr>
          <w:rFonts w:ascii="Arial" w:hAnsi="Arial" w:cs="Arial"/>
          <w:b/>
        </w:rPr>
      </w:pPr>
    </w:p>
    <w:p w:rsidR="00A257A4" w:rsidRDefault="00A257A4" w:rsidP="00A257A4">
      <w:pPr>
        <w:jc w:val="center"/>
        <w:rPr>
          <w:rFonts w:ascii="Arial" w:hAnsi="Arial" w:cs="Arial"/>
          <w:b/>
        </w:rPr>
      </w:pPr>
      <w:r>
        <w:rPr>
          <w:rFonts w:ascii="Arial" w:hAnsi="Arial" w:cs="Arial"/>
          <w:b/>
        </w:rPr>
        <w:t xml:space="preserve">Pricing shall be for a </w:t>
      </w:r>
      <w:r w:rsidRPr="00061439">
        <w:rPr>
          <w:rFonts w:ascii="Arial" w:hAnsi="Arial" w:cs="Arial"/>
          <w:b/>
          <w:u w:val="single"/>
        </w:rPr>
        <w:t>three year</w:t>
      </w:r>
      <w:r>
        <w:rPr>
          <w:rFonts w:ascii="Arial" w:hAnsi="Arial" w:cs="Arial"/>
          <w:b/>
        </w:rPr>
        <w:t xml:space="preserve"> license and support agreement</w:t>
      </w:r>
      <w:r w:rsidR="00E877B5">
        <w:rPr>
          <w:rFonts w:ascii="Arial" w:hAnsi="Arial" w:cs="Arial"/>
          <w:b/>
        </w:rPr>
        <w:t>.</w:t>
      </w:r>
    </w:p>
    <w:p w:rsidR="00A257A4" w:rsidRDefault="00E877B5" w:rsidP="00A257A4">
      <w:pPr>
        <w:jc w:val="center"/>
        <w:rPr>
          <w:rFonts w:ascii="Arial" w:hAnsi="Arial" w:cs="Arial"/>
          <w:b/>
        </w:rPr>
      </w:pPr>
      <w:r w:rsidRPr="00E877B5">
        <w:rPr>
          <w:rFonts w:ascii="Arial" w:hAnsi="Arial" w:cs="Arial"/>
          <w:b/>
          <w:highlight w:val="yellow"/>
        </w:rPr>
        <w:t>These agreements will co-term on May 20, 2022</w:t>
      </w:r>
      <w:r>
        <w:rPr>
          <w:rFonts w:ascii="Arial" w:hAnsi="Arial" w:cs="Arial"/>
          <w:b/>
        </w:rPr>
        <w:t>.</w:t>
      </w:r>
    </w:p>
    <w:p w:rsidR="00A257A4" w:rsidRDefault="00A257A4" w:rsidP="00A257A4">
      <w:pPr>
        <w:jc w:val="center"/>
        <w:rPr>
          <w:rFonts w:ascii="Arial" w:hAnsi="Arial" w:cs="Arial"/>
          <w:b/>
        </w:rPr>
      </w:pPr>
    </w:p>
    <w:p w:rsidR="00A257A4" w:rsidRDefault="00A257A4" w:rsidP="00A257A4">
      <w:pPr>
        <w:jc w:val="center"/>
        <w:rPr>
          <w:rFonts w:ascii="Arial" w:hAnsi="Arial" w:cs="Arial"/>
          <w:b/>
        </w:rPr>
      </w:pPr>
    </w:p>
    <w:tbl>
      <w:tblPr>
        <w:tblStyle w:val="TableGrid"/>
        <w:tblW w:w="10800" w:type="dxa"/>
        <w:tblInd w:w="85" w:type="dxa"/>
        <w:tblLook w:val="04A0" w:firstRow="1" w:lastRow="0" w:firstColumn="1" w:lastColumn="0" w:noHBand="0" w:noVBand="1"/>
      </w:tblPr>
      <w:tblGrid>
        <w:gridCol w:w="1190"/>
        <w:gridCol w:w="683"/>
        <w:gridCol w:w="3707"/>
        <w:gridCol w:w="2430"/>
        <w:gridCol w:w="2790"/>
      </w:tblGrid>
      <w:tr w:rsidR="00FF1B22" w:rsidTr="00E877B5">
        <w:tc>
          <w:tcPr>
            <w:tcW w:w="1190" w:type="dxa"/>
          </w:tcPr>
          <w:p w:rsidR="00A257A4" w:rsidRPr="00E877B5" w:rsidRDefault="00A257A4" w:rsidP="00A257A4">
            <w:pPr>
              <w:jc w:val="center"/>
              <w:rPr>
                <w:rFonts w:ascii="Arial" w:hAnsi="Arial" w:cs="Arial"/>
                <w:b/>
              </w:rPr>
            </w:pPr>
            <w:r w:rsidRPr="00E877B5">
              <w:rPr>
                <w:rFonts w:ascii="Arial" w:hAnsi="Arial" w:cs="Arial"/>
                <w:b/>
              </w:rPr>
              <w:t>Quantity</w:t>
            </w:r>
          </w:p>
        </w:tc>
        <w:tc>
          <w:tcPr>
            <w:tcW w:w="683" w:type="dxa"/>
          </w:tcPr>
          <w:p w:rsidR="00A257A4" w:rsidRPr="00E877B5" w:rsidRDefault="00A257A4" w:rsidP="00A257A4">
            <w:pPr>
              <w:jc w:val="center"/>
              <w:rPr>
                <w:rFonts w:ascii="Arial" w:hAnsi="Arial" w:cs="Arial"/>
                <w:b/>
              </w:rPr>
            </w:pPr>
            <w:r w:rsidRPr="00E877B5">
              <w:rPr>
                <w:rFonts w:ascii="Arial" w:hAnsi="Arial" w:cs="Arial"/>
                <w:b/>
              </w:rPr>
              <w:t>Unit</w:t>
            </w:r>
          </w:p>
        </w:tc>
        <w:tc>
          <w:tcPr>
            <w:tcW w:w="3707" w:type="dxa"/>
          </w:tcPr>
          <w:p w:rsidR="00A257A4" w:rsidRPr="00E877B5" w:rsidRDefault="00A257A4" w:rsidP="00A257A4">
            <w:pPr>
              <w:jc w:val="center"/>
              <w:rPr>
                <w:rFonts w:ascii="Arial" w:hAnsi="Arial" w:cs="Arial"/>
                <w:b/>
              </w:rPr>
            </w:pPr>
            <w:r w:rsidRPr="00E877B5">
              <w:rPr>
                <w:rFonts w:ascii="Arial" w:hAnsi="Arial" w:cs="Arial"/>
                <w:b/>
              </w:rPr>
              <w:t>Item</w:t>
            </w:r>
          </w:p>
        </w:tc>
        <w:tc>
          <w:tcPr>
            <w:tcW w:w="2430" w:type="dxa"/>
          </w:tcPr>
          <w:p w:rsidR="00A257A4" w:rsidRPr="00E877B5" w:rsidRDefault="00A257A4" w:rsidP="00A257A4">
            <w:pPr>
              <w:jc w:val="center"/>
              <w:rPr>
                <w:rFonts w:ascii="Arial" w:hAnsi="Arial" w:cs="Arial"/>
                <w:b/>
              </w:rPr>
            </w:pPr>
            <w:r w:rsidRPr="00E877B5">
              <w:rPr>
                <w:rFonts w:ascii="Arial" w:hAnsi="Arial" w:cs="Arial"/>
                <w:b/>
              </w:rPr>
              <w:t>Part #</w:t>
            </w:r>
          </w:p>
        </w:tc>
        <w:tc>
          <w:tcPr>
            <w:tcW w:w="2790" w:type="dxa"/>
          </w:tcPr>
          <w:p w:rsidR="00A257A4" w:rsidRPr="00E877B5" w:rsidRDefault="00A257A4" w:rsidP="00A257A4">
            <w:pPr>
              <w:jc w:val="center"/>
              <w:rPr>
                <w:rFonts w:ascii="Arial" w:hAnsi="Arial" w:cs="Arial"/>
                <w:b/>
              </w:rPr>
            </w:pPr>
            <w:r w:rsidRPr="00E877B5">
              <w:rPr>
                <w:rFonts w:ascii="Arial" w:hAnsi="Arial" w:cs="Arial"/>
                <w:b/>
              </w:rPr>
              <w:t>Price</w:t>
            </w:r>
          </w:p>
        </w:tc>
      </w:tr>
      <w:tr w:rsidR="00FF1B22" w:rsidTr="00E877B5">
        <w:tc>
          <w:tcPr>
            <w:tcW w:w="1190" w:type="dxa"/>
          </w:tcPr>
          <w:p w:rsidR="00A257A4" w:rsidRPr="00E877B5" w:rsidRDefault="00A257A4" w:rsidP="00A257A4">
            <w:pPr>
              <w:jc w:val="center"/>
              <w:rPr>
                <w:rFonts w:ascii="Arial" w:hAnsi="Arial" w:cs="Arial"/>
              </w:rPr>
            </w:pPr>
            <w:r w:rsidRPr="00E877B5">
              <w:rPr>
                <w:rFonts w:ascii="Arial" w:hAnsi="Arial" w:cs="Arial"/>
              </w:rPr>
              <w:t>1</w:t>
            </w:r>
          </w:p>
        </w:tc>
        <w:tc>
          <w:tcPr>
            <w:tcW w:w="683" w:type="dxa"/>
          </w:tcPr>
          <w:p w:rsidR="00A257A4" w:rsidRPr="00E877B5" w:rsidRDefault="00A257A4" w:rsidP="00A257A4">
            <w:pPr>
              <w:jc w:val="center"/>
              <w:rPr>
                <w:rFonts w:ascii="Arial" w:hAnsi="Arial" w:cs="Arial"/>
              </w:rPr>
            </w:pPr>
            <w:r w:rsidRPr="00E877B5">
              <w:rPr>
                <w:rFonts w:ascii="Arial" w:hAnsi="Arial" w:cs="Arial"/>
              </w:rPr>
              <w:t>Ea.</w:t>
            </w:r>
          </w:p>
        </w:tc>
        <w:tc>
          <w:tcPr>
            <w:tcW w:w="3707" w:type="dxa"/>
          </w:tcPr>
          <w:p w:rsidR="007D44F9" w:rsidRPr="00E877B5" w:rsidRDefault="007D44F9" w:rsidP="007D44F9">
            <w:pPr>
              <w:tabs>
                <w:tab w:val="left" w:pos="1263"/>
              </w:tabs>
              <w:rPr>
                <w:rFonts w:ascii="Arial" w:hAnsi="Arial" w:cs="Arial"/>
                <w:bCs/>
              </w:rPr>
            </w:pPr>
            <w:r w:rsidRPr="00E877B5">
              <w:rPr>
                <w:rFonts w:ascii="Arial" w:hAnsi="Arial" w:cs="Arial"/>
                <w:bCs/>
              </w:rPr>
              <w:t>DatAdvantage for Windows Software Maintenance and Support for 3000 Users</w:t>
            </w:r>
          </w:p>
          <w:p w:rsidR="00A257A4" w:rsidRPr="00E877B5" w:rsidRDefault="00A257A4" w:rsidP="00E877B5">
            <w:pPr>
              <w:tabs>
                <w:tab w:val="left" w:pos="1263"/>
              </w:tabs>
              <w:rPr>
                <w:rFonts w:ascii="Arial" w:hAnsi="Arial" w:cs="Arial"/>
              </w:rPr>
            </w:pPr>
            <w:r w:rsidRPr="00E877B5">
              <w:rPr>
                <w:rFonts w:ascii="Arial" w:hAnsi="Arial" w:cs="Arial"/>
                <w:bCs/>
              </w:rPr>
              <w:t xml:space="preserve">- </w:t>
            </w:r>
            <w:r w:rsidR="00E877B5" w:rsidRPr="00E877B5">
              <w:rPr>
                <w:rFonts w:ascii="Arial" w:hAnsi="Arial" w:cs="Arial"/>
                <w:bCs/>
              </w:rPr>
              <w:t>May 31, 2019-May 30, 2022</w:t>
            </w:r>
            <w:r w:rsidRPr="00E877B5">
              <w:rPr>
                <w:rFonts w:ascii="Arial" w:hAnsi="Arial" w:cs="Arial"/>
                <w:bCs/>
              </w:rPr>
              <w:t xml:space="preserve"> </w:t>
            </w:r>
          </w:p>
        </w:tc>
        <w:tc>
          <w:tcPr>
            <w:tcW w:w="2430" w:type="dxa"/>
          </w:tcPr>
          <w:p w:rsidR="00A257A4" w:rsidRPr="00E877B5" w:rsidRDefault="007D44F9" w:rsidP="00FF1B22">
            <w:pPr>
              <w:rPr>
                <w:rFonts w:ascii="Arial" w:hAnsi="Arial" w:cs="Arial"/>
              </w:rPr>
            </w:pPr>
            <w:r w:rsidRPr="00E877B5">
              <w:rPr>
                <w:rFonts w:ascii="Arial" w:hAnsi="Arial" w:cs="Arial"/>
              </w:rPr>
              <w:t>DAW-2501-4000MS</w:t>
            </w:r>
          </w:p>
        </w:tc>
        <w:tc>
          <w:tcPr>
            <w:tcW w:w="2790" w:type="dxa"/>
          </w:tcPr>
          <w:p w:rsidR="00A257A4" w:rsidRPr="00E877B5" w:rsidRDefault="00A257A4" w:rsidP="00A257A4">
            <w:pPr>
              <w:jc w:val="center"/>
              <w:rPr>
                <w:rFonts w:ascii="Arial" w:hAnsi="Arial" w:cs="Arial"/>
              </w:rPr>
            </w:pPr>
          </w:p>
        </w:tc>
      </w:tr>
      <w:tr w:rsidR="00FF1B22" w:rsidTr="00E877B5">
        <w:tc>
          <w:tcPr>
            <w:tcW w:w="1190" w:type="dxa"/>
          </w:tcPr>
          <w:p w:rsidR="00A257A4" w:rsidRPr="00E877B5" w:rsidRDefault="00A257A4" w:rsidP="00A257A4">
            <w:pPr>
              <w:jc w:val="center"/>
              <w:rPr>
                <w:rFonts w:ascii="Arial" w:hAnsi="Arial" w:cs="Arial"/>
              </w:rPr>
            </w:pPr>
            <w:r w:rsidRPr="00E877B5">
              <w:rPr>
                <w:rFonts w:ascii="Arial" w:hAnsi="Arial" w:cs="Arial"/>
              </w:rPr>
              <w:t>1</w:t>
            </w:r>
          </w:p>
        </w:tc>
        <w:tc>
          <w:tcPr>
            <w:tcW w:w="683" w:type="dxa"/>
          </w:tcPr>
          <w:p w:rsidR="00A257A4" w:rsidRPr="00E877B5" w:rsidRDefault="00A257A4" w:rsidP="00A257A4">
            <w:pPr>
              <w:jc w:val="center"/>
              <w:rPr>
                <w:rFonts w:ascii="Arial" w:hAnsi="Arial" w:cs="Arial"/>
              </w:rPr>
            </w:pPr>
            <w:r w:rsidRPr="00E877B5">
              <w:rPr>
                <w:rFonts w:ascii="Arial" w:hAnsi="Arial" w:cs="Arial"/>
              </w:rPr>
              <w:t>Ea.</w:t>
            </w:r>
          </w:p>
        </w:tc>
        <w:tc>
          <w:tcPr>
            <w:tcW w:w="3707" w:type="dxa"/>
          </w:tcPr>
          <w:p w:rsidR="007D44F9" w:rsidRPr="00E877B5" w:rsidRDefault="007D44F9" w:rsidP="007D44F9">
            <w:pPr>
              <w:autoSpaceDE w:val="0"/>
              <w:autoSpaceDN w:val="0"/>
              <w:adjustRightInd w:val="0"/>
              <w:rPr>
                <w:rFonts w:ascii="Arial" w:hAnsi="Arial" w:cs="Arial"/>
                <w:bCs/>
              </w:rPr>
            </w:pPr>
            <w:r w:rsidRPr="00E877B5">
              <w:rPr>
                <w:rFonts w:ascii="Arial" w:hAnsi="Arial" w:cs="Arial"/>
                <w:bCs/>
              </w:rPr>
              <w:t>Data Classification Framework for Windows and SharePoint Software Maintenance</w:t>
            </w:r>
          </w:p>
          <w:p w:rsidR="007D44F9" w:rsidRPr="00E877B5" w:rsidRDefault="007D44F9" w:rsidP="007D44F9">
            <w:pPr>
              <w:autoSpaceDE w:val="0"/>
              <w:autoSpaceDN w:val="0"/>
              <w:adjustRightInd w:val="0"/>
              <w:rPr>
                <w:rFonts w:ascii="Arial" w:hAnsi="Arial" w:cs="Arial"/>
                <w:bCs/>
              </w:rPr>
            </w:pPr>
            <w:r w:rsidRPr="00E877B5">
              <w:rPr>
                <w:rFonts w:ascii="Arial" w:hAnsi="Arial" w:cs="Arial"/>
                <w:bCs/>
              </w:rPr>
              <w:t xml:space="preserve">and Support for 3000 Users </w:t>
            </w:r>
          </w:p>
          <w:p w:rsidR="00A257A4" w:rsidRPr="00E877B5" w:rsidRDefault="007D44F9" w:rsidP="007D44F9">
            <w:pPr>
              <w:autoSpaceDE w:val="0"/>
              <w:autoSpaceDN w:val="0"/>
              <w:adjustRightInd w:val="0"/>
              <w:rPr>
                <w:rFonts w:ascii="Arial" w:hAnsi="Arial" w:cs="Arial"/>
                <w:bCs/>
              </w:rPr>
            </w:pPr>
            <w:r w:rsidRPr="00E877B5">
              <w:rPr>
                <w:rFonts w:ascii="Arial" w:hAnsi="Arial" w:cs="Arial"/>
                <w:bCs/>
              </w:rPr>
              <w:t xml:space="preserve">- </w:t>
            </w:r>
            <w:r w:rsidR="00E877B5" w:rsidRPr="00E877B5">
              <w:rPr>
                <w:rFonts w:ascii="Arial" w:hAnsi="Arial" w:cs="Arial"/>
                <w:bCs/>
              </w:rPr>
              <w:t>May 31, 2019-May 30, 2022</w:t>
            </w:r>
          </w:p>
        </w:tc>
        <w:tc>
          <w:tcPr>
            <w:tcW w:w="2430" w:type="dxa"/>
          </w:tcPr>
          <w:p w:rsidR="00A257A4" w:rsidRPr="00E877B5" w:rsidRDefault="007D44F9" w:rsidP="00FF1B22">
            <w:pPr>
              <w:rPr>
                <w:rFonts w:ascii="Arial" w:hAnsi="Arial" w:cs="Arial"/>
              </w:rPr>
            </w:pPr>
            <w:r w:rsidRPr="00E877B5">
              <w:rPr>
                <w:rFonts w:ascii="Arial" w:hAnsi="Arial" w:cs="Arial"/>
              </w:rPr>
              <w:t>DCF-2501-4000MS</w:t>
            </w:r>
          </w:p>
        </w:tc>
        <w:tc>
          <w:tcPr>
            <w:tcW w:w="2790" w:type="dxa"/>
          </w:tcPr>
          <w:p w:rsidR="00A257A4" w:rsidRPr="00E877B5" w:rsidRDefault="00A257A4" w:rsidP="00A257A4">
            <w:pPr>
              <w:jc w:val="center"/>
              <w:rPr>
                <w:rFonts w:ascii="Arial" w:hAnsi="Arial" w:cs="Arial"/>
              </w:rPr>
            </w:pPr>
          </w:p>
        </w:tc>
      </w:tr>
      <w:tr w:rsidR="007D44F9" w:rsidTr="00E877B5">
        <w:trPr>
          <w:trHeight w:val="827"/>
        </w:trPr>
        <w:tc>
          <w:tcPr>
            <w:tcW w:w="1190" w:type="dxa"/>
          </w:tcPr>
          <w:p w:rsidR="007D44F9" w:rsidRPr="00E877B5" w:rsidRDefault="007D44F9" w:rsidP="00A257A4">
            <w:pPr>
              <w:jc w:val="center"/>
              <w:rPr>
                <w:rFonts w:ascii="Arial" w:hAnsi="Arial" w:cs="Arial"/>
              </w:rPr>
            </w:pPr>
            <w:r w:rsidRPr="00E877B5">
              <w:rPr>
                <w:rFonts w:ascii="Arial" w:hAnsi="Arial" w:cs="Arial"/>
              </w:rPr>
              <w:t>1</w:t>
            </w:r>
          </w:p>
        </w:tc>
        <w:tc>
          <w:tcPr>
            <w:tcW w:w="683" w:type="dxa"/>
          </w:tcPr>
          <w:p w:rsidR="007D44F9" w:rsidRPr="00E877B5" w:rsidRDefault="007D44F9" w:rsidP="00A257A4">
            <w:pPr>
              <w:jc w:val="center"/>
              <w:rPr>
                <w:rFonts w:ascii="Arial" w:hAnsi="Arial" w:cs="Arial"/>
              </w:rPr>
            </w:pPr>
            <w:r w:rsidRPr="00E877B5">
              <w:rPr>
                <w:rFonts w:ascii="Arial" w:hAnsi="Arial" w:cs="Arial"/>
              </w:rPr>
              <w:t>Ea.</w:t>
            </w:r>
          </w:p>
        </w:tc>
        <w:tc>
          <w:tcPr>
            <w:tcW w:w="3707" w:type="dxa"/>
          </w:tcPr>
          <w:p w:rsidR="00901C97" w:rsidRPr="00E877B5" w:rsidRDefault="00901C97" w:rsidP="00901C97">
            <w:pPr>
              <w:autoSpaceDE w:val="0"/>
              <w:autoSpaceDN w:val="0"/>
              <w:adjustRightInd w:val="0"/>
              <w:rPr>
                <w:rFonts w:ascii="Arial" w:hAnsi="Arial" w:cs="Arial"/>
                <w:bCs/>
              </w:rPr>
            </w:pPr>
            <w:r w:rsidRPr="00E877B5">
              <w:rPr>
                <w:rFonts w:ascii="Arial" w:hAnsi="Arial" w:cs="Arial"/>
                <w:bCs/>
              </w:rPr>
              <w:t xml:space="preserve">1 Collector Software Maintenance and Support </w:t>
            </w:r>
          </w:p>
          <w:p w:rsidR="007D44F9" w:rsidRPr="00E877B5" w:rsidRDefault="00E877B5" w:rsidP="00E877B5">
            <w:pPr>
              <w:pStyle w:val="ListParagraph"/>
              <w:numPr>
                <w:ilvl w:val="2"/>
                <w:numId w:val="10"/>
              </w:numPr>
              <w:tabs>
                <w:tab w:val="left" w:pos="271"/>
              </w:tabs>
              <w:autoSpaceDE w:val="0"/>
              <w:autoSpaceDN w:val="0"/>
              <w:adjustRightInd w:val="0"/>
              <w:ind w:hanging="2699"/>
              <w:rPr>
                <w:rFonts w:ascii="Arial" w:hAnsi="Arial" w:cs="Arial"/>
                <w:bCs/>
                <w:sz w:val="24"/>
                <w:szCs w:val="24"/>
              </w:rPr>
            </w:pPr>
            <w:r w:rsidRPr="00E877B5">
              <w:rPr>
                <w:rFonts w:ascii="Arial" w:hAnsi="Arial" w:cs="Arial"/>
                <w:bCs/>
                <w:sz w:val="24"/>
                <w:szCs w:val="24"/>
              </w:rPr>
              <w:t>M</w:t>
            </w:r>
            <w:r>
              <w:rPr>
                <w:rFonts w:ascii="Arial" w:hAnsi="Arial" w:cs="Arial"/>
                <w:bCs/>
                <w:sz w:val="24"/>
                <w:szCs w:val="24"/>
              </w:rPr>
              <w:t>ay 31, 2019-</w:t>
            </w:r>
            <w:r w:rsidRPr="00E877B5">
              <w:rPr>
                <w:rFonts w:ascii="Arial" w:hAnsi="Arial" w:cs="Arial"/>
                <w:bCs/>
                <w:sz w:val="24"/>
                <w:szCs w:val="24"/>
              </w:rPr>
              <w:t>May 30, 2022</w:t>
            </w:r>
          </w:p>
        </w:tc>
        <w:tc>
          <w:tcPr>
            <w:tcW w:w="2430" w:type="dxa"/>
          </w:tcPr>
          <w:p w:rsidR="007D44F9" w:rsidRPr="00E877B5" w:rsidRDefault="007D44F9" w:rsidP="00FF1B22">
            <w:pPr>
              <w:rPr>
                <w:rFonts w:ascii="Arial" w:hAnsi="Arial" w:cs="Arial"/>
              </w:rPr>
            </w:pPr>
            <w:r w:rsidRPr="00E877B5">
              <w:rPr>
                <w:rFonts w:ascii="Arial" w:hAnsi="Arial" w:cs="Arial"/>
              </w:rPr>
              <w:t>CL-1-5-MS</w:t>
            </w:r>
          </w:p>
        </w:tc>
        <w:tc>
          <w:tcPr>
            <w:tcW w:w="2790" w:type="dxa"/>
          </w:tcPr>
          <w:p w:rsidR="007D44F9" w:rsidRPr="00E877B5" w:rsidRDefault="007D44F9" w:rsidP="00A257A4">
            <w:pPr>
              <w:jc w:val="center"/>
              <w:rPr>
                <w:rFonts w:ascii="Arial" w:hAnsi="Arial" w:cs="Arial"/>
              </w:rPr>
            </w:pPr>
          </w:p>
        </w:tc>
      </w:tr>
      <w:tr w:rsidR="007D44F9" w:rsidTr="00E877B5">
        <w:trPr>
          <w:trHeight w:val="1097"/>
        </w:trPr>
        <w:tc>
          <w:tcPr>
            <w:tcW w:w="1190" w:type="dxa"/>
          </w:tcPr>
          <w:p w:rsidR="007D44F9" w:rsidRPr="00E877B5" w:rsidRDefault="007D44F9" w:rsidP="00A257A4">
            <w:pPr>
              <w:jc w:val="center"/>
              <w:rPr>
                <w:rFonts w:ascii="Arial" w:hAnsi="Arial" w:cs="Arial"/>
              </w:rPr>
            </w:pPr>
            <w:r w:rsidRPr="00E877B5">
              <w:rPr>
                <w:rFonts w:ascii="Arial" w:hAnsi="Arial" w:cs="Arial"/>
              </w:rPr>
              <w:t>1</w:t>
            </w:r>
          </w:p>
        </w:tc>
        <w:tc>
          <w:tcPr>
            <w:tcW w:w="683" w:type="dxa"/>
          </w:tcPr>
          <w:p w:rsidR="007D44F9" w:rsidRPr="00E877B5" w:rsidRDefault="007D44F9" w:rsidP="00A257A4">
            <w:pPr>
              <w:jc w:val="center"/>
              <w:rPr>
                <w:rFonts w:ascii="Arial" w:hAnsi="Arial" w:cs="Arial"/>
              </w:rPr>
            </w:pPr>
            <w:r w:rsidRPr="00E877B5">
              <w:rPr>
                <w:rFonts w:ascii="Arial" w:hAnsi="Arial" w:cs="Arial"/>
              </w:rPr>
              <w:t>Ea.</w:t>
            </w:r>
          </w:p>
        </w:tc>
        <w:tc>
          <w:tcPr>
            <w:tcW w:w="3707" w:type="dxa"/>
          </w:tcPr>
          <w:p w:rsidR="007D44F9" w:rsidRPr="00E877B5" w:rsidRDefault="007D44F9" w:rsidP="007D44F9">
            <w:pPr>
              <w:autoSpaceDE w:val="0"/>
              <w:autoSpaceDN w:val="0"/>
              <w:adjustRightInd w:val="0"/>
              <w:rPr>
                <w:rFonts w:ascii="Arial" w:hAnsi="Arial" w:cs="Arial"/>
                <w:bCs/>
              </w:rPr>
            </w:pPr>
            <w:r w:rsidRPr="00E877B5">
              <w:rPr>
                <w:rFonts w:ascii="Arial" w:hAnsi="Arial" w:cs="Arial"/>
                <w:bCs/>
              </w:rPr>
              <w:t>DatAlert Suite Software Maintenance and Support for 3000 Users</w:t>
            </w:r>
          </w:p>
          <w:p w:rsidR="007D44F9" w:rsidRPr="00E877B5" w:rsidRDefault="00E877B5" w:rsidP="00E877B5">
            <w:pPr>
              <w:pStyle w:val="ListParagraph"/>
              <w:numPr>
                <w:ilvl w:val="2"/>
                <w:numId w:val="10"/>
              </w:numPr>
              <w:autoSpaceDE w:val="0"/>
              <w:autoSpaceDN w:val="0"/>
              <w:adjustRightInd w:val="0"/>
              <w:ind w:left="451"/>
              <w:rPr>
                <w:rFonts w:ascii="Arial" w:hAnsi="Arial" w:cs="Arial"/>
                <w:bCs/>
                <w:sz w:val="24"/>
                <w:szCs w:val="24"/>
              </w:rPr>
            </w:pPr>
            <w:r w:rsidRPr="00E877B5">
              <w:rPr>
                <w:rFonts w:ascii="Arial" w:hAnsi="Arial" w:cs="Arial"/>
                <w:bCs/>
                <w:sz w:val="24"/>
                <w:szCs w:val="24"/>
              </w:rPr>
              <w:t xml:space="preserve">May </w:t>
            </w:r>
            <w:r w:rsidRPr="00E877B5">
              <w:rPr>
                <w:rFonts w:ascii="Arial" w:hAnsi="Arial" w:cs="Arial"/>
                <w:bCs/>
                <w:sz w:val="24"/>
                <w:szCs w:val="24"/>
              </w:rPr>
              <w:t>2</w:t>
            </w:r>
            <w:r w:rsidRPr="00E877B5">
              <w:rPr>
                <w:rFonts w:ascii="Arial" w:hAnsi="Arial" w:cs="Arial"/>
                <w:bCs/>
                <w:sz w:val="24"/>
                <w:szCs w:val="24"/>
              </w:rPr>
              <w:t>,</w:t>
            </w:r>
            <w:bookmarkStart w:id="0" w:name="_GoBack"/>
            <w:bookmarkEnd w:id="0"/>
            <w:r w:rsidRPr="00E877B5">
              <w:rPr>
                <w:rFonts w:ascii="Arial" w:hAnsi="Arial" w:cs="Arial"/>
                <w:bCs/>
                <w:sz w:val="24"/>
                <w:szCs w:val="24"/>
              </w:rPr>
              <w:t xml:space="preserve"> 2019-May 30, 2022</w:t>
            </w:r>
          </w:p>
        </w:tc>
        <w:tc>
          <w:tcPr>
            <w:tcW w:w="2430" w:type="dxa"/>
          </w:tcPr>
          <w:p w:rsidR="007D44F9" w:rsidRPr="00E877B5" w:rsidRDefault="007D44F9" w:rsidP="00FF1B22">
            <w:pPr>
              <w:rPr>
                <w:rFonts w:ascii="Arial" w:hAnsi="Arial" w:cs="Arial"/>
              </w:rPr>
            </w:pPr>
            <w:r w:rsidRPr="00E877B5">
              <w:rPr>
                <w:rFonts w:ascii="Arial" w:hAnsi="Arial" w:cs="Arial"/>
              </w:rPr>
              <w:t>DLS-2501-4000MS</w:t>
            </w:r>
          </w:p>
        </w:tc>
        <w:tc>
          <w:tcPr>
            <w:tcW w:w="2790" w:type="dxa"/>
          </w:tcPr>
          <w:p w:rsidR="007D44F9" w:rsidRPr="00E877B5" w:rsidRDefault="007D44F9" w:rsidP="00A257A4">
            <w:pPr>
              <w:jc w:val="center"/>
              <w:rPr>
                <w:rFonts w:ascii="Arial" w:hAnsi="Arial" w:cs="Arial"/>
              </w:rPr>
            </w:pPr>
          </w:p>
        </w:tc>
      </w:tr>
      <w:tr w:rsidR="00FF1B22" w:rsidTr="00E877B5">
        <w:tc>
          <w:tcPr>
            <w:tcW w:w="1190" w:type="dxa"/>
            <w:shd w:val="clear" w:color="auto" w:fill="BFBFBF" w:themeFill="background1" w:themeFillShade="BF"/>
          </w:tcPr>
          <w:p w:rsidR="00A257A4" w:rsidRPr="00E877B5" w:rsidRDefault="00A257A4" w:rsidP="00A257A4">
            <w:pPr>
              <w:jc w:val="center"/>
              <w:rPr>
                <w:rFonts w:ascii="Arial" w:hAnsi="Arial" w:cs="Arial"/>
              </w:rPr>
            </w:pPr>
          </w:p>
        </w:tc>
        <w:tc>
          <w:tcPr>
            <w:tcW w:w="683" w:type="dxa"/>
            <w:shd w:val="clear" w:color="auto" w:fill="BFBFBF" w:themeFill="background1" w:themeFillShade="BF"/>
          </w:tcPr>
          <w:p w:rsidR="00A257A4" w:rsidRPr="00E877B5" w:rsidRDefault="00A257A4" w:rsidP="00A257A4">
            <w:pPr>
              <w:jc w:val="center"/>
              <w:rPr>
                <w:rFonts w:ascii="Arial" w:hAnsi="Arial" w:cs="Arial"/>
              </w:rPr>
            </w:pPr>
          </w:p>
        </w:tc>
        <w:tc>
          <w:tcPr>
            <w:tcW w:w="3707" w:type="dxa"/>
            <w:shd w:val="clear" w:color="auto" w:fill="BFBFBF" w:themeFill="background1" w:themeFillShade="BF"/>
          </w:tcPr>
          <w:p w:rsidR="00A257A4" w:rsidRPr="00E877B5" w:rsidRDefault="00A257A4" w:rsidP="00A257A4">
            <w:pPr>
              <w:autoSpaceDE w:val="0"/>
              <w:autoSpaceDN w:val="0"/>
              <w:adjustRightInd w:val="0"/>
              <w:rPr>
                <w:rFonts w:ascii="Arial" w:hAnsi="Arial" w:cs="Arial"/>
              </w:rPr>
            </w:pPr>
          </w:p>
        </w:tc>
        <w:tc>
          <w:tcPr>
            <w:tcW w:w="2430" w:type="dxa"/>
          </w:tcPr>
          <w:p w:rsidR="00A257A4" w:rsidRPr="00E877B5" w:rsidRDefault="00A257A4" w:rsidP="00A257A4">
            <w:pPr>
              <w:autoSpaceDE w:val="0"/>
              <w:autoSpaceDN w:val="0"/>
              <w:adjustRightInd w:val="0"/>
              <w:jc w:val="right"/>
              <w:rPr>
                <w:rFonts w:ascii="Arial" w:hAnsi="Arial" w:cs="Arial"/>
              </w:rPr>
            </w:pPr>
            <w:r w:rsidRPr="00E877B5">
              <w:rPr>
                <w:rFonts w:ascii="Arial" w:hAnsi="Arial" w:cs="Arial"/>
              </w:rPr>
              <w:t>TOTAL</w:t>
            </w:r>
          </w:p>
          <w:p w:rsidR="00A257A4" w:rsidRPr="00E877B5" w:rsidRDefault="00A257A4" w:rsidP="00A257A4">
            <w:pPr>
              <w:autoSpaceDE w:val="0"/>
              <w:autoSpaceDN w:val="0"/>
              <w:adjustRightInd w:val="0"/>
              <w:jc w:val="right"/>
              <w:rPr>
                <w:rFonts w:ascii="Arial" w:hAnsi="Arial" w:cs="Arial"/>
              </w:rPr>
            </w:pPr>
          </w:p>
        </w:tc>
        <w:tc>
          <w:tcPr>
            <w:tcW w:w="2790" w:type="dxa"/>
          </w:tcPr>
          <w:p w:rsidR="00A257A4" w:rsidRPr="00E877B5" w:rsidRDefault="00A257A4" w:rsidP="00A257A4">
            <w:pPr>
              <w:jc w:val="center"/>
              <w:rPr>
                <w:rFonts w:ascii="Arial" w:hAnsi="Arial" w:cs="Arial"/>
              </w:rPr>
            </w:pPr>
          </w:p>
        </w:tc>
      </w:tr>
    </w:tbl>
    <w:p w:rsidR="00A257A4" w:rsidRDefault="00A257A4" w:rsidP="00A257A4">
      <w:pPr>
        <w:rPr>
          <w:rFonts w:ascii="Arial" w:hAnsi="Arial" w:cs="Arial"/>
          <w:b/>
          <w:bCs/>
        </w:rPr>
      </w:pPr>
    </w:p>
    <w:p w:rsidR="00CE5BC7" w:rsidRPr="00CE5BC7" w:rsidRDefault="00CE5BC7" w:rsidP="00901C97">
      <w:pPr>
        <w:pStyle w:val="ListParagraph"/>
        <w:numPr>
          <w:ilvl w:val="2"/>
          <w:numId w:val="10"/>
        </w:numPr>
        <w:spacing w:after="0" w:line="240" w:lineRule="auto"/>
        <w:ind w:left="360"/>
        <w:rPr>
          <w:rFonts w:ascii="Arial" w:hAnsi="Arial" w:cs="Arial"/>
          <w:sz w:val="24"/>
          <w:szCs w:val="24"/>
        </w:rPr>
        <w:sectPr w:rsidR="00CE5BC7" w:rsidRPr="00CE5BC7" w:rsidSect="00FF1B22">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w:t>
      </w:r>
      <w:r>
        <w:rPr>
          <w:rFonts w:ascii="Arial" w:hAnsi="Arial"/>
          <w:sz w:val="18"/>
        </w:rPr>
        <w:lastRenderedPageBreak/>
        <w:t>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07" w:rsidRDefault="00E96C07">
      <w:r>
        <w:separator/>
      </w:r>
    </w:p>
  </w:endnote>
  <w:endnote w:type="continuationSeparator" w:id="0">
    <w:p w:rsidR="00E96C07" w:rsidRDefault="00E9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Pr="00DE13CB" w:rsidRDefault="00E96C07" w:rsidP="00A257A4">
    <w:pPr>
      <w:pStyle w:val="Footer"/>
      <w:tabs>
        <w:tab w:val="clear" w:pos="4320"/>
        <w:tab w:val="clear" w:pos="8640"/>
      </w:tabs>
      <w:rPr>
        <w:rFonts w:ascii="Arial" w:hAnsi="Arial" w:cs="Arial"/>
      </w:rPr>
    </w:pPr>
    <w:r w:rsidRPr="00DE13CB">
      <w:rPr>
        <w:rFonts w:ascii="Arial" w:hAnsi="Arial" w:cs="Arial"/>
      </w:rPr>
      <w:t>BID</w:t>
    </w:r>
    <w:r>
      <w:rPr>
        <w:rFonts w:ascii="Arial" w:hAnsi="Arial" w:cs="Arial"/>
      </w:rPr>
      <w:t xml:space="preserve"> #119062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877B5">
      <w:rPr>
        <w:rFonts w:ascii="Arial" w:hAnsi="Arial" w:cs="Arial"/>
        <w:noProof/>
      </w:rPr>
      <w:t>8</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Default="00E9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7" w:rsidRDefault="00E9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Default="00E9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7" w:rsidRDefault="00E9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07" w:rsidRDefault="00E96C07">
      <w:r>
        <w:separator/>
      </w:r>
    </w:p>
  </w:footnote>
  <w:footnote w:type="continuationSeparator" w:id="0">
    <w:p w:rsidR="00E96C07" w:rsidRDefault="00E9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Pr="00896A3F" w:rsidRDefault="00E96C0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Default="00E96C07" w:rsidP="00BC4F4A">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p w:rsidR="00E96C07" w:rsidRPr="00896A3F" w:rsidRDefault="00E96C07" w:rsidP="00896A3F">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Pr="00896A3F" w:rsidRDefault="00E96C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7" w:rsidRDefault="00E96C0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rsidR="00E96C07" w:rsidRPr="00896A3F" w:rsidRDefault="00E96C07"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804AFAE0"/>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CE81694">
      <w:start w:val="5"/>
      <w:numFmt w:val="bullet"/>
      <w:lvlText w:val="-"/>
      <w:lvlJc w:val="left"/>
      <w:pPr>
        <w:ind w:left="2700" w:hanging="360"/>
      </w:pPr>
      <w:rPr>
        <w:rFonts w:ascii="ArialMT" w:eastAsia="Times New Roman" w:hAnsi="ArialMT" w:cs="ArialMT"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63B01"/>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3D5"/>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406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44F9"/>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8F40EA"/>
    <w:rsid w:val="00901C97"/>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82D86"/>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257A4"/>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4F4A"/>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E5BC7"/>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1578"/>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877B5"/>
    <w:rsid w:val="00E96C07"/>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1B22"/>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E60ECF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43047610">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84302301">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277523109">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7340892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rc.wi.gov/" TargetMode="Externa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nlrb.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05AA-5B3F-4BF4-9CB4-127D3F94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8E754AA8</Template>
  <TotalTime>67</TotalTime>
  <Pages>11</Pages>
  <Words>6730</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43891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7</cp:revision>
  <cp:lastPrinted>2018-02-26T20:39:00Z</cp:lastPrinted>
  <dcterms:created xsi:type="dcterms:W3CDTF">2019-05-28T19:41:00Z</dcterms:created>
  <dcterms:modified xsi:type="dcterms:W3CDTF">2019-06-04T19:51:00Z</dcterms:modified>
</cp:coreProperties>
</file>