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A257A4" w:rsidP="00173A67">
            <w:pPr>
              <w:jc w:val="center"/>
              <w:rPr>
                <w:rFonts w:ascii="Arial" w:hAnsi="Arial" w:cs="Arial"/>
                <w:b/>
                <w:color w:val="0000FF"/>
              </w:rPr>
            </w:pPr>
            <w:r>
              <w:rPr>
                <w:rFonts w:ascii="Arial" w:hAnsi="Arial" w:cs="Arial"/>
                <w:b/>
                <w:color w:val="0000FF"/>
                <w:sz w:val="28"/>
              </w:rPr>
              <w:t>119062</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A257A4" w:rsidP="00173A67">
            <w:pPr>
              <w:jc w:val="center"/>
              <w:rPr>
                <w:rFonts w:ascii="Arial" w:hAnsi="Arial" w:cs="Arial"/>
                <w:b/>
                <w:color w:val="0000FF"/>
              </w:rPr>
            </w:pPr>
            <w:r>
              <w:rPr>
                <w:rFonts w:ascii="Arial" w:hAnsi="Arial" w:cs="Arial"/>
                <w:b/>
                <w:color w:val="0000FF"/>
                <w:sz w:val="28"/>
              </w:rPr>
              <w:t>Proofpoint Software &amp; Support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A257A4" w:rsidP="00173A67">
            <w:pPr>
              <w:pStyle w:val="Heading7"/>
              <w:rPr>
                <w:color w:val="0000FF"/>
                <w:sz w:val="32"/>
              </w:rPr>
            </w:pPr>
            <w:r>
              <w:rPr>
                <w:color w:val="0000FF"/>
                <w:sz w:val="32"/>
              </w:rPr>
              <w:t>June 5,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 xml:space="preserve">and </w:t>
            </w:r>
            <w:r w:rsidRPr="00A257A4">
              <w:rPr>
                <w:rFonts w:ascii="Arial" w:hAnsi="Arial" w:cs="Arial"/>
                <w:color w:val="0000FF"/>
              </w:rPr>
              <w:t>(1)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A257A4" w:rsidP="00173A67">
            <w:pPr>
              <w:rPr>
                <w:rFonts w:ascii="Arial" w:hAnsi="Arial" w:cs="Arial"/>
              </w:rPr>
            </w:pPr>
            <w:r>
              <w:rPr>
                <w:rFonts w:ascii="Arial" w:hAnsi="Arial" w:cs="Arial"/>
              </w:rPr>
              <w:t>Carolyn A. Clow</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A257A4" w:rsidP="00173A67">
            <w:pPr>
              <w:rPr>
                <w:rFonts w:ascii="Arial" w:hAnsi="Arial" w:cs="Arial"/>
              </w:rPr>
            </w:pPr>
            <w:r>
              <w:rPr>
                <w:rFonts w:ascii="Arial" w:hAnsi="Arial" w:cs="Arial"/>
              </w:rPr>
              <w:t>608/266-4966</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982D86" w:rsidP="00173A67">
            <w:pPr>
              <w:rPr>
                <w:rFonts w:ascii="Arial" w:hAnsi="Arial" w:cs="Arial"/>
              </w:rPr>
            </w:pPr>
            <w:hyperlink r:id="rId9" w:history="1">
              <w:r w:rsidR="00A257A4" w:rsidRPr="000A5771">
                <w:rPr>
                  <w:rStyle w:val="Hyperlink"/>
                  <w:rFonts w:ascii="Arial" w:hAnsi="Arial" w:cs="Arial"/>
                </w:rPr>
                <w:t>Clow.carolyn@countyofdane.com</w:t>
              </w:r>
            </w:hyperlink>
            <w:r w:rsidR="00A257A4">
              <w:rPr>
                <w:rFonts w:ascii="Arial" w:hAnsi="Arial" w:cs="Arial"/>
              </w:rPr>
              <w:t xml:space="preserve"> </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982D86"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A257A4">
            <w:pPr>
              <w:rPr>
                <w:rFonts w:ascii="Arial" w:hAnsi="Arial" w:cs="Arial"/>
              </w:rPr>
            </w:pPr>
            <w:r>
              <w:rPr>
                <w:rFonts w:ascii="Arial" w:hAnsi="Arial" w:cs="Arial"/>
                <w:b/>
                <w:bCs/>
                <w:sz w:val="20"/>
              </w:rPr>
              <w:t xml:space="preserve">DATE BID ISSUED:  </w:t>
            </w:r>
            <w:r w:rsidR="00A257A4">
              <w:rPr>
                <w:rFonts w:ascii="Arial" w:hAnsi="Arial" w:cs="Arial"/>
                <w:b/>
                <w:bCs/>
                <w:sz w:val="20"/>
              </w:rPr>
              <w:t>May 13, 2019</w:t>
            </w:r>
          </w:p>
        </w:tc>
      </w:tr>
    </w:tbl>
    <w:p w:rsidR="00714909" w:rsidRDefault="00714909" w:rsidP="007240C4">
      <w:pPr>
        <w:pStyle w:val="Heading6"/>
        <w:rPr>
          <w:bCs w:val="0"/>
          <w:color w:val="0000FF"/>
        </w:rPr>
      </w:pPr>
    </w:p>
    <w:p w:rsidR="00EA5F2A" w:rsidRPr="006D4069" w:rsidRDefault="00EA5F2A" w:rsidP="00714909">
      <w:pPr>
        <w:rPr>
          <w:sz w:val="4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6"/>
        <w:gridCol w:w="5438"/>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982D86">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w:t>
            </w:r>
            <w:r w:rsidR="00982D86">
              <w:rPr>
                <w:rFonts w:ascii="Arial" w:hAnsi="Arial" w:cs="Arial"/>
              </w:rPr>
              <w:t xml:space="preserve"> </w:t>
            </w:r>
            <w:r w:rsidR="00307E3B" w:rsidRPr="00F931CE">
              <w:rPr>
                <w:rFonts w:ascii="Arial" w:hAnsi="Arial" w:cs="Arial"/>
              </w:rPr>
              <w:t>Price Proposal</w:t>
            </w:r>
          </w:p>
          <w:p w:rsidR="00307E3B" w:rsidRPr="00307E3B" w:rsidRDefault="00F931CE" w:rsidP="00982D86">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w:t>
            </w:r>
            <w:r w:rsidR="00982D86">
              <w:rPr>
                <w:rFonts w:ascii="Arial" w:hAnsi="Arial" w:cs="Arial"/>
              </w:rPr>
              <w:t>4</w:t>
            </w:r>
            <w:r w:rsidR="00307E3B" w:rsidRPr="00F931CE">
              <w:rPr>
                <w:rFonts w:ascii="Arial" w:hAnsi="Arial" w:cs="Arial"/>
              </w:rPr>
              <w:t xml:space="preserve">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and </w:t>
            </w:r>
            <w:r w:rsidR="00307E3B" w:rsidRPr="00A257A4">
              <w:rPr>
                <w:rFonts w:ascii="Arial" w:hAnsi="Arial" w:cs="Arial"/>
              </w:rPr>
              <w:t>(1)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1"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3"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982D86" w:rsidP="00FD4548">
      <w:pPr>
        <w:autoSpaceDE w:val="0"/>
        <w:autoSpaceDN w:val="0"/>
        <w:adjustRightInd w:val="0"/>
        <w:ind w:left="720"/>
        <w:rPr>
          <w:rFonts w:ascii="Arial" w:hAnsi="Arial" w:cs="Arial"/>
          <w:b/>
          <w:sz w:val="20"/>
          <w:szCs w:val="20"/>
        </w:rPr>
      </w:pPr>
      <w:hyperlink r:id="rId14"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5"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6"/>
          <w:footerReference w:type="default" r:id="rId17"/>
          <w:pgSz w:w="12240" w:h="15840"/>
          <w:pgMar w:top="720" w:right="720" w:bottom="720" w:left="720" w:header="540" w:footer="394" w:gutter="0"/>
          <w:pgNumType w:start="1"/>
          <w:cols w:space="720"/>
          <w:titlePg/>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6D4069">
        <w:trPr>
          <w:cantSplit/>
          <w:tblCellSpacing w:w="20" w:type="dxa"/>
          <w:jc w:val="center"/>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6D4069">
        <w:trPr>
          <w:trHeight w:val="559"/>
          <w:tblCellSpacing w:w="20" w:type="dxa"/>
          <w:jc w:val="center"/>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BC4F4A">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450" w:footer="394" w:gutter="0"/>
          <w:cols w:space="720"/>
          <w:docGrid w:linePitch="326"/>
        </w:sectPr>
      </w:pPr>
    </w:p>
    <w:p w:rsidR="00A257A4" w:rsidRDefault="00A257A4" w:rsidP="00D30D08">
      <w:pPr>
        <w:jc w:val="center"/>
        <w:rPr>
          <w:rFonts w:ascii="Arial" w:hAnsi="Arial" w:cs="Arial"/>
          <w:b/>
        </w:rPr>
      </w:pPr>
    </w:p>
    <w:p w:rsidR="00BC4F4A" w:rsidRDefault="00BC4F4A" w:rsidP="00BC4F4A">
      <w:pPr>
        <w:rPr>
          <w:rFonts w:ascii="Arial" w:hAnsi="Arial" w:cs="Arial"/>
          <w:b/>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BC4F4A" w:rsidRPr="00D1099C" w:rsidTr="009F3C31">
        <w:trPr>
          <w:cantSplit/>
          <w:tblCellSpacing w:w="20" w:type="dxa"/>
          <w:jc w:val="center"/>
        </w:trPr>
        <w:tc>
          <w:tcPr>
            <w:tcW w:w="10720" w:type="dxa"/>
            <w:gridSpan w:val="2"/>
            <w:shd w:val="clear" w:color="auto" w:fill="E6E6E6"/>
            <w:vAlign w:val="center"/>
          </w:tcPr>
          <w:p w:rsidR="00BC4F4A" w:rsidRPr="00D1099C" w:rsidRDefault="00BC4F4A" w:rsidP="009F3C31">
            <w:pPr>
              <w:jc w:val="center"/>
              <w:rPr>
                <w:rFonts w:ascii="Arial" w:hAnsi="Arial" w:cs="Arial"/>
                <w:b/>
                <w:bCs/>
                <w:sz w:val="28"/>
              </w:rPr>
            </w:pPr>
            <w:r>
              <w:rPr>
                <w:rFonts w:ascii="Arial" w:hAnsi="Arial" w:cs="Arial"/>
                <w:b/>
                <w:bCs/>
                <w:sz w:val="28"/>
              </w:rPr>
              <w:t>PRICE PROPOSAL</w:t>
            </w:r>
          </w:p>
        </w:tc>
      </w:tr>
      <w:tr w:rsidR="00BC4F4A" w:rsidRPr="008711EE" w:rsidTr="009F3C31">
        <w:trPr>
          <w:trHeight w:val="559"/>
          <w:tblCellSpacing w:w="20" w:type="dxa"/>
          <w:jc w:val="center"/>
        </w:trPr>
        <w:tc>
          <w:tcPr>
            <w:tcW w:w="2370" w:type="dxa"/>
            <w:shd w:val="clear" w:color="auto" w:fill="E6E6E6"/>
            <w:vAlign w:val="center"/>
          </w:tcPr>
          <w:p w:rsidR="00BC4F4A" w:rsidRPr="00065A89" w:rsidRDefault="00BC4F4A" w:rsidP="009F3C31">
            <w:pPr>
              <w:pStyle w:val="Heading2"/>
              <w:jc w:val="center"/>
              <w:rPr>
                <w:sz w:val="22"/>
                <w:szCs w:val="22"/>
              </w:rPr>
            </w:pPr>
            <w:r>
              <w:rPr>
                <w:szCs w:val="22"/>
              </w:rPr>
              <w:t>VENDOR</w:t>
            </w:r>
            <w:r w:rsidRPr="008711EE">
              <w:rPr>
                <w:szCs w:val="22"/>
              </w:rPr>
              <w:t xml:space="preserve"> NAME:</w:t>
            </w:r>
          </w:p>
        </w:tc>
        <w:tc>
          <w:tcPr>
            <w:tcW w:w="8310" w:type="dxa"/>
            <w:vAlign w:val="center"/>
          </w:tcPr>
          <w:p w:rsidR="00BC4F4A" w:rsidRPr="008711EE" w:rsidRDefault="00BC4F4A" w:rsidP="009F3C31">
            <w:pPr>
              <w:pStyle w:val="Level2"/>
              <w:widowControl/>
              <w:ind w:left="397"/>
              <w:rPr>
                <w:rFonts w:ascii="Arial" w:hAnsi="Arial" w:cs="Arial"/>
                <w:b/>
                <w:szCs w:val="24"/>
              </w:rPr>
            </w:pPr>
          </w:p>
        </w:tc>
      </w:tr>
    </w:tbl>
    <w:p w:rsidR="00BC4F4A" w:rsidRDefault="00BC4F4A" w:rsidP="00D30D08">
      <w:pPr>
        <w:jc w:val="center"/>
        <w:rPr>
          <w:rFonts w:ascii="Arial" w:hAnsi="Arial" w:cs="Arial"/>
          <w:b/>
        </w:rPr>
      </w:pPr>
    </w:p>
    <w:p w:rsidR="00BC4F4A" w:rsidRDefault="00BC4F4A" w:rsidP="00D30D08">
      <w:pPr>
        <w:jc w:val="center"/>
        <w:rPr>
          <w:rFonts w:ascii="Arial" w:hAnsi="Arial" w:cs="Arial"/>
          <w:b/>
        </w:rPr>
      </w:pPr>
    </w:p>
    <w:p w:rsidR="00A257A4" w:rsidRDefault="00A257A4" w:rsidP="00A257A4">
      <w:pPr>
        <w:jc w:val="center"/>
        <w:rPr>
          <w:rFonts w:ascii="Arial" w:hAnsi="Arial" w:cs="Arial"/>
          <w:b/>
        </w:rPr>
      </w:pPr>
      <w:r>
        <w:rPr>
          <w:rFonts w:ascii="Arial" w:hAnsi="Arial" w:cs="Arial"/>
          <w:b/>
        </w:rPr>
        <w:t xml:space="preserve">Pricing shall be for a </w:t>
      </w:r>
      <w:r w:rsidRPr="00061439">
        <w:rPr>
          <w:rFonts w:ascii="Arial" w:hAnsi="Arial" w:cs="Arial"/>
          <w:b/>
          <w:u w:val="single"/>
        </w:rPr>
        <w:t>three year</w:t>
      </w:r>
      <w:r>
        <w:rPr>
          <w:rFonts w:ascii="Arial" w:hAnsi="Arial" w:cs="Arial"/>
          <w:b/>
        </w:rPr>
        <w:t xml:space="preserve"> license and support agreement</w:t>
      </w:r>
    </w:p>
    <w:p w:rsidR="00A257A4" w:rsidRDefault="00A257A4" w:rsidP="00A257A4">
      <w:pPr>
        <w:jc w:val="center"/>
        <w:rPr>
          <w:rFonts w:ascii="Arial" w:hAnsi="Arial" w:cs="Arial"/>
          <w:b/>
        </w:rPr>
      </w:pPr>
      <w:r>
        <w:rPr>
          <w:rFonts w:ascii="Arial" w:hAnsi="Arial" w:cs="Arial"/>
          <w:b/>
        </w:rPr>
        <w:t>6/16/2019-6/15/2022</w:t>
      </w:r>
    </w:p>
    <w:p w:rsidR="00A257A4" w:rsidRDefault="00A257A4" w:rsidP="00A257A4">
      <w:pPr>
        <w:jc w:val="center"/>
        <w:rPr>
          <w:rFonts w:ascii="Arial" w:hAnsi="Arial" w:cs="Arial"/>
          <w:b/>
        </w:rPr>
      </w:pPr>
    </w:p>
    <w:p w:rsidR="00A257A4" w:rsidRDefault="00A257A4" w:rsidP="00A257A4">
      <w:pPr>
        <w:jc w:val="center"/>
        <w:rPr>
          <w:rFonts w:ascii="Arial" w:hAnsi="Arial" w:cs="Arial"/>
          <w:b/>
        </w:rPr>
      </w:pPr>
    </w:p>
    <w:tbl>
      <w:tblPr>
        <w:tblStyle w:val="TableGrid"/>
        <w:tblW w:w="10800" w:type="dxa"/>
        <w:tblInd w:w="85" w:type="dxa"/>
        <w:tblLook w:val="04A0" w:firstRow="1" w:lastRow="0" w:firstColumn="1" w:lastColumn="0" w:noHBand="0" w:noVBand="1"/>
      </w:tblPr>
      <w:tblGrid>
        <w:gridCol w:w="1190"/>
        <w:gridCol w:w="683"/>
        <w:gridCol w:w="3527"/>
        <w:gridCol w:w="2610"/>
        <w:gridCol w:w="2790"/>
      </w:tblGrid>
      <w:tr w:rsidR="00FF1B22" w:rsidTr="00FF1B22">
        <w:tc>
          <w:tcPr>
            <w:tcW w:w="1190" w:type="dxa"/>
          </w:tcPr>
          <w:p w:rsidR="00A257A4" w:rsidRPr="00D55103" w:rsidRDefault="00A257A4" w:rsidP="00A257A4">
            <w:pPr>
              <w:jc w:val="center"/>
              <w:rPr>
                <w:rFonts w:ascii="Arial" w:hAnsi="Arial" w:cs="Arial"/>
                <w:b/>
              </w:rPr>
            </w:pPr>
            <w:r w:rsidRPr="00D55103">
              <w:rPr>
                <w:rFonts w:ascii="Arial" w:hAnsi="Arial" w:cs="Arial"/>
                <w:b/>
              </w:rPr>
              <w:t>Quantity</w:t>
            </w:r>
          </w:p>
        </w:tc>
        <w:tc>
          <w:tcPr>
            <w:tcW w:w="683" w:type="dxa"/>
          </w:tcPr>
          <w:p w:rsidR="00A257A4" w:rsidRPr="00D55103" w:rsidRDefault="00A257A4" w:rsidP="00A257A4">
            <w:pPr>
              <w:jc w:val="center"/>
              <w:rPr>
                <w:rFonts w:ascii="Arial" w:hAnsi="Arial" w:cs="Arial"/>
                <w:b/>
              </w:rPr>
            </w:pPr>
            <w:r w:rsidRPr="00D55103">
              <w:rPr>
                <w:rFonts w:ascii="Arial" w:hAnsi="Arial" w:cs="Arial"/>
                <w:b/>
              </w:rPr>
              <w:t>Unit</w:t>
            </w:r>
          </w:p>
        </w:tc>
        <w:tc>
          <w:tcPr>
            <w:tcW w:w="3527" w:type="dxa"/>
          </w:tcPr>
          <w:p w:rsidR="00A257A4" w:rsidRPr="00D55103" w:rsidRDefault="00A257A4" w:rsidP="00A257A4">
            <w:pPr>
              <w:jc w:val="center"/>
              <w:rPr>
                <w:rFonts w:ascii="Arial" w:hAnsi="Arial" w:cs="Arial"/>
                <w:b/>
              </w:rPr>
            </w:pPr>
            <w:r w:rsidRPr="00D55103">
              <w:rPr>
                <w:rFonts w:ascii="Arial" w:hAnsi="Arial" w:cs="Arial"/>
                <w:b/>
              </w:rPr>
              <w:t>Item</w:t>
            </w:r>
          </w:p>
        </w:tc>
        <w:tc>
          <w:tcPr>
            <w:tcW w:w="2610" w:type="dxa"/>
          </w:tcPr>
          <w:p w:rsidR="00A257A4" w:rsidRPr="00D55103" w:rsidRDefault="00A257A4" w:rsidP="00A257A4">
            <w:pPr>
              <w:jc w:val="center"/>
              <w:rPr>
                <w:rFonts w:ascii="Arial" w:hAnsi="Arial" w:cs="Arial"/>
                <w:b/>
              </w:rPr>
            </w:pPr>
            <w:r w:rsidRPr="00D55103">
              <w:rPr>
                <w:rFonts w:ascii="Arial" w:hAnsi="Arial" w:cs="Arial"/>
                <w:b/>
              </w:rPr>
              <w:t>Part #</w:t>
            </w:r>
          </w:p>
        </w:tc>
        <w:tc>
          <w:tcPr>
            <w:tcW w:w="2790" w:type="dxa"/>
          </w:tcPr>
          <w:p w:rsidR="00A257A4" w:rsidRPr="00D55103" w:rsidRDefault="00A257A4" w:rsidP="00A257A4">
            <w:pPr>
              <w:jc w:val="center"/>
              <w:rPr>
                <w:rFonts w:ascii="Arial" w:hAnsi="Arial" w:cs="Arial"/>
                <w:b/>
              </w:rPr>
            </w:pPr>
            <w:r w:rsidRPr="00D55103">
              <w:rPr>
                <w:rFonts w:ascii="Arial" w:hAnsi="Arial" w:cs="Arial"/>
                <w:b/>
              </w:rPr>
              <w:t>Price</w:t>
            </w:r>
          </w:p>
        </w:tc>
      </w:tr>
      <w:tr w:rsidR="00FF1B22" w:rsidTr="00FF1B22">
        <w:tc>
          <w:tcPr>
            <w:tcW w:w="1190" w:type="dxa"/>
          </w:tcPr>
          <w:p w:rsidR="00A257A4" w:rsidRPr="00D55103" w:rsidRDefault="00A257A4" w:rsidP="00A257A4">
            <w:pPr>
              <w:jc w:val="center"/>
              <w:rPr>
                <w:rFonts w:ascii="Arial" w:hAnsi="Arial" w:cs="Arial"/>
              </w:rPr>
            </w:pPr>
            <w:r w:rsidRPr="00D55103">
              <w:rPr>
                <w:rFonts w:ascii="Arial" w:hAnsi="Arial" w:cs="Arial"/>
              </w:rPr>
              <w:t>1</w:t>
            </w:r>
          </w:p>
        </w:tc>
        <w:tc>
          <w:tcPr>
            <w:tcW w:w="683" w:type="dxa"/>
          </w:tcPr>
          <w:p w:rsidR="00A257A4" w:rsidRPr="00D55103" w:rsidRDefault="00A257A4" w:rsidP="00A257A4">
            <w:pPr>
              <w:jc w:val="center"/>
              <w:rPr>
                <w:rFonts w:ascii="Arial" w:hAnsi="Arial" w:cs="Arial"/>
              </w:rPr>
            </w:pPr>
            <w:r w:rsidRPr="00D55103">
              <w:rPr>
                <w:rFonts w:ascii="Arial" w:hAnsi="Arial" w:cs="Arial"/>
              </w:rPr>
              <w:t>Ea.</w:t>
            </w:r>
          </w:p>
        </w:tc>
        <w:tc>
          <w:tcPr>
            <w:tcW w:w="3527" w:type="dxa"/>
          </w:tcPr>
          <w:p w:rsidR="00A257A4" w:rsidRPr="00FF1B22" w:rsidRDefault="00A257A4" w:rsidP="00FF1B22">
            <w:pPr>
              <w:tabs>
                <w:tab w:val="left" w:pos="1263"/>
              </w:tabs>
              <w:rPr>
                <w:rFonts w:ascii="ArialMT" w:hAnsi="ArialMT" w:cs="ArialMT"/>
              </w:rPr>
            </w:pPr>
            <w:r w:rsidRPr="00FF1B22">
              <w:rPr>
                <w:rFonts w:ascii="ArialMT" w:hAnsi="ArialMT" w:cs="ArialMT"/>
                <w:bCs/>
              </w:rPr>
              <w:t xml:space="preserve">Proofpoint Platinum Support - technical support - 3 years </w:t>
            </w:r>
          </w:p>
        </w:tc>
        <w:tc>
          <w:tcPr>
            <w:tcW w:w="2610" w:type="dxa"/>
          </w:tcPr>
          <w:p w:rsidR="00A257A4" w:rsidRPr="00FF1B22" w:rsidRDefault="00A257A4" w:rsidP="00FF1B22">
            <w:pPr>
              <w:rPr>
                <w:rFonts w:ascii="Arial" w:hAnsi="Arial" w:cs="Arial"/>
              </w:rPr>
            </w:pPr>
            <w:r w:rsidRPr="00FF1B22">
              <w:rPr>
                <w:rFonts w:ascii="ArialMT" w:hAnsi="ArialMT" w:cs="ArialMT"/>
              </w:rPr>
              <w:t>PP-SUP-PS-36</w:t>
            </w:r>
          </w:p>
        </w:tc>
        <w:tc>
          <w:tcPr>
            <w:tcW w:w="2790" w:type="dxa"/>
          </w:tcPr>
          <w:p w:rsidR="00A257A4" w:rsidRPr="00D55103" w:rsidRDefault="00A257A4" w:rsidP="00A257A4">
            <w:pPr>
              <w:jc w:val="center"/>
              <w:rPr>
                <w:rFonts w:ascii="Arial" w:hAnsi="Arial" w:cs="Arial"/>
              </w:rPr>
            </w:pPr>
          </w:p>
        </w:tc>
      </w:tr>
      <w:tr w:rsidR="00FF1B22" w:rsidTr="00FF1B22">
        <w:tc>
          <w:tcPr>
            <w:tcW w:w="1190" w:type="dxa"/>
          </w:tcPr>
          <w:p w:rsidR="00A257A4" w:rsidRPr="00D55103" w:rsidRDefault="00A257A4" w:rsidP="00A257A4">
            <w:pPr>
              <w:jc w:val="center"/>
              <w:rPr>
                <w:rFonts w:ascii="Arial" w:hAnsi="Arial" w:cs="Arial"/>
              </w:rPr>
            </w:pPr>
            <w:r w:rsidRPr="00D55103">
              <w:rPr>
                <w:rFonts w:ascii="Arial" w:hAnsi="Arial" w:cs="Arial"/>
              </w:rPr>
              <w:t>1</w:t>
            </w:r>
          </w:p>
        </w:tc>
        <w:tc>
          <w:tcPr>
            <w:tcW w:w="683" w:type="dxa"/>
          </w:tcPr>
          <w:p w:rsidR="00A257A4" w:rsidRPr="00D55103" w:rsidRDefault="00A257A4" w:rsidP="00A257A4">
            <w:pPr>
              <w:jc w:val="center"/>
              <w:rPr>
                <w:rFonts w:ascii="Arial" w:hAnsi="Arial" w:cs="Arial"/>
              </w:rPr>
            </w:pPr>
            <w:r w:rsidRPr="00D55103">
              <w:rPr>
                <w:rFonts w:ascii="Arial" w:hAnsi="Arial" w:cs="Arial"/>
              </w:rPr>
              <w:t>Ea.</w:t>
            </w:r>
          </w:p>
        </w:tc>
        <w:tc>
          <w:tcPr>
            <w:tcW w:w="3527" w:type="dxa"/>
          </w:tcPr>
          <w:p w:rsidR="00A257A4" w:rsidRPr="00FF1B22" w:rsidRDefault="00FF1B22" w:rsidP="00FF1B22">
            <w:pPr>
              <w:autoSpaceDE w:val="0"/>
              <w:autoSpaceDN w:val="0"/>
              <w:adjustRightInd w:val="0"/>
              <w:rPr>
                <w:rFonts w:ascii="ArialMT" w:hAnsi="ArialMT" w:cs="ArialMT"/>
                <w:bCs/>
              </w:rPr>
            </w:pPr>
            <w:r w:rsidRPr="00FF1B22">
              <w:rPr>
                <w:rFonts w:ascii="ArialMT" w:hAnsi="ArialMT" w:cs="ArialMT"/>
                <w:bCs/>
              </w:rPr>
              <w:t>Proofpoint Targeted Attack Protection URL and Attachment Defense Virtual Ed</w:t>
            </w:r>
          </w:p>
        </w:tc>
        <w:tc>
          <w:tcPr>
            <w:tcW w:w="2610" w:type="dxa"/>
          </w:tcPr>
          <w:p w:rsidR="00A257A4" w:rsidRPr="00FF1B22" w:rsidRDefault="00FF1B22" w:rsidP="00FF1B22">
            <w:pPr>
              <w:rPr>
                <w:rFonts w:ascii="Arial" w:hAnsi="Arial" w:cs="Arial"/>
              </w:rPr>
            </w:pPr>
            <w:r w:rsidRPr="00FF1B22">
              <w:rPr>
                <w:rFonts w:ascii="Arial" w:hAnsi="Arial" w:cs="Arial"/>
              </w:rPr>
              <w:t>PP-B-TBEPF-V-A-306</w:t>
            </w:r>
          </w:p>
        </w:tc>
        <w:tc>
          <w:tcPr>
            <w:tcW w:w="2790" w:type="dxa"/>
          </w:tcPr>
          <w:p w:rsidR="00A257A4" w:rsidRPr="00D55103" w:rsidRDefault="00A257A4" w:rsidP="00A257A4">
            <w:pPr>
              <w:jc w:val="center"/>
              <w:rPr>
                <w:rFonts w:ascii="Arial" w:hAnsi="Arial" w:cs="Arial"/>
              </w:rPr>
            </w:pPr>
          </w:p>
        </w:tc>
      </w:tr>
      <w:tr w:rsidR="00FF1B22" w:rsidTr="00FF1B22">
        <w:tc>
          <w:tcPr>
            <w:tcW w:w="1190" w:type="dxa"/>
            <w:shd w:val="clear" w:color="auto" w:fill="BFBFBF" w:themeFill="background1" w:themeFillShade="BF"/>
          </w:tcPr>
          <w:p w:rsidR="00A257A4" w:rsidRPr="00D55103" w:rsidRDefault="00A257A4" w:rsidP="00A257A4">
            <w:pPr>
              <w:jc w:val="center"/>
              <w:rPr>
                <w:rFonts w:ascii="Arial" w:hAnsi="Arial" w:cs="Arial"/>
              </w:rPr>
            </w:pPr>
          </w:p>
        </w:tc>
        <w:tc>
          <w:tcPr>
            <w:tcW w:w="683" w:type="dxa"/>
            <w:shd w:val="clear" w:color="auto" w:fill="BFBFBF" w:themeFill="background1" w:themeFillShade="BF"/>
          </w:tcPr>
          <w:p w:rsidR="00A257A4" w:rsidRPr="00D55103" w:rsidRDefault="00A257A4" w:rsidP="00A257A4">
            <w:pPr>
              <w:jc w:val="center"/>
              <w:rPr>
                <w:rFonts w:ascii="Arial" w:hAnsi="Arial" w:cs="Arial"/>
              </w:rPr>
            </w:pPr>
          </w:p>
        </w:tc>
        <w:tc>
          <w:tcPr>
            <w:tcW w:w="3527" w:type="dxa"/>
            <w:shd w:val="clear" w:color="auto" w:fill="BFBFBF" w:themeFill="background1" w:themeFillShade="BF"/>
          </w:tcPr>
          <w:p w:rsidR="00A257A4" w:rsidRPr="00D55103" w:rsidRDefault="00A257A4" w:rsidP="00A257A4">
            <w:pPr>
              <w:autoSpaceDE w:val="0"/>
              <w:autoSpaceDN w:val="0"/>
              <w:adjustRightInd w:val="0"/>
              <w:rPr>
                <w:rFonts w:ascii="ArialMT" w:hAnsi="ArialMT" w:cs="ArialMT"/>
              </w:rPr>
            </w:pPr>
          </w:p>
        </w:tc>
        <w:tc>
          <w:tcPr>
            <w:tcW w:w="2610" w:type="dxa"/>
          </w:tcPr>
          <w:p w:rsidR="00A257A4" w:rsidRDefault="00A257A4" w:rsidP="00A257A4">
            <w:pPr>
              <w:autoSpaceDE w:val="0"/>
              <w:autoSpaceDN w:val="0"/>
              <w:adjustRightInd w:val="0"/>
              <w:jc w:val="right"/>
              <w:rPr>
                <w:rFonts w:ascii="ArialMT" w:hAnsi="ArialMT" w:cs="ArialMT"/>
              </w:rPr>
            </w:pPr>
            <w:r>
              <w:rPr>
                <w:rFonts w:ascii="ArialMT" w:hAnsi="ArialMT" w:cs="ArialMT"/>
              </w:rPr>
              <w:t>TOTAL</w:t>
            </w:r>
          </w:p>
          <w:p w:rsidR="00A257A4" w:rsidRPr="00D55103" w:rsidRDefault="00A257A4" w:rsidP="00A257A4">
            <w:pPr>
              <w:autoSpaceDE w:val="0"/>
              <w:autoSpaceDN w:val="0"/>
              <w:adjustRightInd w:val="0"/>
              <w:jc w:val="right"/>
              <w:rPr>
                <w:rFonts w:ascii="ArialMT" w:hAnsi="ArialMT" w:cs="ArialMT"/>
              </w:rPr>
            </w:pPr>
          </w:p>
        </w:tc>
        <w:tc>
          <w:tcPr>
            <w:tcW w:w="2790" w:type="dxa"/>
          </w:tcPr>
          <w:p w:rsidR="00A257A4" w:rsidRPr="00D55103" w:rsidRDefault="00A257A4" w:rsidP="00A257A4">
            <w:pPr>
              <w:jc w:val="center"/>
              <w:rPr>
                <w:rFonts w:ascii="Arial" w:hAnsi="Arial" w:cs="Arial"/>
              </w:rPr>
            </w:pPr>
          </w:p>
        </w:tc>
      </w:tr>
    </w:tbl>
    <w:p w:rsidR="00A257A4" w:rsidRDefault="00A257A4" w:rsidP="00A257A4">
      <w:pPr>
        <w:rPr>
          <w:rFonts w:ascii="Arial" w:hAnsi="Arial" w:cs="Arial"/>
          <w:b/>
          <w:bCs/>
        </w:rPr>
      </w:pPr>
    </w:p>
    <w:p w:rsidR="009C2599" w:rsidRPr="00D1099C" w:rsidRDefault="009C2599" w:rsidP="009C2599">
      <w:pPr>
        <w:rPr>
          <w:rFonts w:ascii="Arial" w:hAnsi="Arial" w:cs="Arial"/>
          <w:sz w:val="20"/>
          <w:szCs w:val="20"/>
        </w:rPr>
        <w:sectPr w:rsidR="009C2599" w:rsidRPr="00D1099C" w:rsidSect="00FF1B22">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6D4069">
        <w:trPr>
          <w:cantSplit/>
          <w:trHeight w:val="1190"/>
          <w:tblCellSpacing w:w="20" w:type="dxa"/>
          <w:jc w:val="center"/>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 xml:space="preserve">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w:t>
      </w:r>
      <w:r>
        <w:rPr>
          <w:rFonts w:ascii="Arial" w:hAnsi="Arial"/>
          <w:sz w:val="18"/>
        </w:rPr>
        <w:lastRenderedPageBreak/>
        <w:t>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overcharges as to goods, materials or </w:t>
      </w:r>
      <w:bookmarkStart w:id="0" w:name="_GoBack"/>
      <w:bookmarkEnd w:id="0"/>
      <w:r w:rsidRPr="00B91B98">
        <w:rPr>
          <w:rFonts w:ascii="Arial" w:hAnsi="Arial"/>
          <w:sz w:val="18"/>
        </w:rPr>
        <w:t>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A4" w:rsidRDefault="00A257A4">
      <w:r>
        <w:separator/>
      </w:r>
    </w:p>
  </w:endnote>
  <w:endnote w:type="continuationSeparator" w:id="0">
    <w:p w:rsidR="00A257A4" w:rsidRDefault="00A2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A4" w:rsidRPr="00DE13CB" w:rsidRDefault="00A257A4" w:rsidP="00A257A4">
    <w:pPr>
      <w:pStyle w:val="Footer"/>
      <w:tabs>
        <w:tab w:val="clear" w:pos="4320"/>
        <w:tab w:val="clear" w:pos="8640"/>
      </w:tabs>
      <w:rPr>
        <w:rFonts w:ascii="Arial" w:hAnsi="Arial" w:cs="Arial"/>
      </w:rPr>
    </w:pPr>
    <w:r w:rsidRPr="00DE13CB">
      <w:rPr>
        <w:rFonts w:ascii="Arial" w:hAnsi="Arial" w:cs="Arial"/>
      </w:rPr>
      <w:t>BID</w:t>
    </w:r>
    <w:r>
      <w:rPr>
        <w:rFonts w:ascii="Arial" w:hAnsi="Arial" w:cs="Arial"/>
      </w:rPr>
      <w:t xml:space="preserve"> #119062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982D86">
      <w:rPr>
        <w:rFonts w:ascii="Arial" w:hAnsi="Arial" w:cs="Arial"/>
        <w:noProof/>
      </w:rPr>
      <w:t>11</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A4" w:rsidRDefault="00A25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7A4" w:rsidRDefault="00A25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A4" w:rsidRDefault="00A25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7A4" w:rsidRDefault="00A2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A4" w:rsidRDefault="00A257A4">
      <w:r>
        <w:separator/>
      </w:r>
    </w:p>
  </w:footnote>
  <w:footnote w:type="continuationSeparator" w:id="0">
    <w:p w:rsidR="00A257A4" w:rsidRDefault="00A2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A4" w:rsidRPr="00896A3F" w:rsidRDefault="00A257A4"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4A" w:rsidRDefault="00A257A4" w:rsidP="00BC4F4A">
    <w:pPr>
      <w:pStyle w:val="Header"/>
      <w:jc w:val="right"/>
      <w:rPr>
        <w:rFonts w:ascii="Arial" w:hAnsi="Arial" w:cs="Arial"/>
        <w:b/>
        <w:bCs/>
        <w:color w:val="0000FF"/>
        <w:sz w:val="24"/>
      </w:rPr>
    </w:pPr>
    <w:r w:rsidRPr="00896A3F">
      <w:rPr>
        <w:rFonts w:ascii="Arial" w:hAnsi="Arial" w:cs="Arial"/>
        <w:b/>
        <w:bCs/>
        <w:color w:val="0000FF"/>
        <w:sz w:val="24"/>
      </w:rPr>
      <w:t xml:space="preserve">Section </w:t>
    </w:r>
    <w:r w:rsidR="00982D86">
      <w:rPr>
        <w:rFonts w:ascii="Arial" w:hAnsi="Arial" w:cs="Arial"/>
        <w:b/>
        <w:bCs/>
        <w:color w:val="0000FF"/>
        <w:sz w:val="24"/>
      </w:rPr>
      <w:t>2</w:t>
    </w:r>
    <w:r w:rsidRPr="00896A3F">
      <w:rPr>
        <w:rFonts w:ascii="Arial" w:hAnsi="Arial" w:cs="Arial"/>
        <w:b/>
        <w:bCs/>
        <w:color w:val="0000FF"/>
        <w:sz w:val="24"/>
      </w:rPr>
      <w:t xml:space="preserve"> – </w:t>
    </w:r>
    <w:r w:rsidR="00982D86">
      <w:rPr>
        <w:rFonts w:ascii="Arial" w:hAnsi="Arial" w:cs="Arial"/>
        <w:b/>
        <w:bCs/>
        <w:color w:val="0000FF"/>
        <w:sz w:val="24"/>
      </w:rPr>
      <w:t>Vendor Information</w:t>
    </w:r>
    <w:r>
      <w:rPr>
        <w:rFonts w:ascii="Arial" w:hAnsi="Arial" w:cs="Arial"/>
        <w:b/>
        <w:bCs/>
        <w:color w:val="0000FF"/>
        <w:sz w:val="24"/>
      </w:rPr>
      <w:t xml:space="preserve"> – Submit with Bid</w:t>
    </w:r>
  </w:p>
  <w:p w:rsidR="00BC4F4A" w:rsidRPr="00896A3F" w:rsidRDefault="00BC4F4A" w:rsidP="00896A3F">
    <w:pPr>
      <w:pStyle w:val="Header"/>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A4" w:rsidRPr="00896A3F" w:rsidRDefault="00A257A4" w:rsidP="00896A3F">
    <w:pPr>
      <w:pStyle w:val="Header"/>
      <w:jc w:val="right"/>
      <w:rPr>
        <w:rFonts w:ascii="Arial" w:hAnsi="Arial" w:cs="Arial"/>
        <w:b/>
        <w:sz w:val="24"/>
      </w:rPr>
    </w:pPr>
    <w:r w:rsidRPr="00896A3F">
      <w:rPr>
        <w:rFonts w:ascii="Arial" w:hAnsi="Arial" w:cs="Arial"/>
        <w:b/>
        <w:bCs/>
        <w:color w:val="0000FF"/>
        <w:sz w:val="24"/>
      </w:rPr>
      <w:t xml:space="preserve">Section </w:t>
    </w:r>
    <w:r w:rsidR="00982D86">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A4" w:rsidRDefault="00A257A4"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sidR="00982D86">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rsidR="00982D86" w:rsidRPr="00896A3F" w:rsidRDefault="00982D86"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406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8F40EA"/>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82D86"/>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257A4"/>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C4F4A"/>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1B22"/>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06926A1"/>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rc.wi.gov/" TargetMode="Externa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nlrb.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B482-58C3-4B77-9523-3176FE18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590416EA</Template>
  <TotalTime>32</TotalTime>
  <Pages>11</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43559</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5</cp:revision>
  <cp:lastPrinted>2018-02-26T20:39:00Z</cp:lastPrinted>
  <dcterms:created xsi:type="dcterms:W3CDTF">2019-05-13T17:44:00Z</dcterms:created>
  <dcterms:modified xsi:type="dcterms:W3CDTF">2019-05-13T18:24:00Z</dcterms:modified>
</cp:coreProperties>
</file>