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55103" w:rsidP="00173A67">
            <w:pPr>
              <w:jc w:val="center"/>
              <w:rPr>
                <w:rFonts w:ascii="Arial" w:hAnsi="Arial" w:cs="Arial"/>
                <w:b/>
                <w:color w:val="0000FF"/>
              </w:rPr>
            </w:pPr>
            <w:r>
              <w:rPr>
                <w:rFonts w:ascii="Arial" w:hAnsi="Arial" w:cs="Arial"/>
                <w:b/>
                <w:color w:val="0000FF"/>
                <w:sz w:val="28"/>
              </w:rPr>
              <w:t>118085</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D55103" w:rsidP="00173A67">
            <w:pPr>
              <w:jc w:val="center"/>
              <w:rPr>
                <w:rFonts w:ascii="Arial" w:hAnsi="Arial" w:cs="Arial"/>
                <w:b/>
                <w:color w:val="0000FF"/>
              </w:rPr>
            </w:pPr>
            <w:proofErr w:type="spellStart"/>
            <w:r>
              <w:rPr>
                <w:rFonts w:ascii="Arial" w:hAnsi="Arial" w:cs="Arial"/>
                <w:b/>
                <w:color w:val="0000FF"/>
                <w:sz w:val="28"/>
              </w:rPr>
              <w:t>Splunk</w:t>
            </w:r>
            <w:proofErr w:type="spellEnd"/>
            <w:r>
              <w:rPr>
                <w:rFonts w:ascii="Arial" w:hAnsi="Arial" w:cs="Arial"/>
                <w:b/>
                <w:color w:val="0000FF"/>
                <w:sz w:val="28"/>
              </w:rPr>
              <w:t xml:space="preserve"> Enterprise License &amp; Support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D55103" w:rsidP="00173A67">
            <w:pPr>
              <w:pStyle w:val="Heading7"/>
              <w:rPr>
                <w:color w:val="0000FF"/>
                <w:sz w:val="32"/>
              </w:rPr>
            </w:pPr>
            <w:r>
              <w:rPr>
                <w:color w:val="0000FF"/>
                <w:sz w:val="32"/>
              </w:rPr>
              <w:t>October 9, 2018</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D55103">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55103" w:rsidP="00173A67">
            <w:pPr>
              <w:rPr>
                <w:rFonts w:ascii="Arial" w:hAnsi="Arial" w:cs="Arial"/>
              </w:rPr>
            </w:pPr>
            <w:r>
              <w:rPr>
                <w:rFonts w:ascii="Arial" w:hAnsi="Arial" w:cs="Arial"/>
              </w:rPr>
              <w:t>Carolyn A. Clow</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55103" w:rsidP="00173A67">
            <w:pPr>
              <w:rPr>
                <w:rFonts w:ascii="Arial" w:hAnsi="Arial" w:cs="Arial"/>
              </w:rPr>
            </w:pPr>
            <w:r>
              <w:rPr>
                <w:rFonts w:ascii="Arial" w:hAnsi="Arial" w:cs="Arial"/>
              </w:rPr>
              <w:t>608/266-4966</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D55103" w:rsidP="00173A67">
            <w:pPr>
              <w:rPr>
                <w:rFonts w:ascii="Arial" w:hAnsi="Arial" w:cs="Arial"/>
              </w:rPr>
            </w:pPr>
            <w:hyperlink r:id="rId10" w:history="1">
              <w:r w:rsidRPr="00925A31">
                <w:rPr>
                  <w:rStyle w:val="Hyperlink"/>
                  <w:rFonts w:ascii="Arial" w:hAnsi="Arial" w:cs="Arial"/>
                </w:rPr>
                <w:t>Clow.carolyn@countyofdane.com</w:t>
              </w:r>
            </w:hyperlink>
            <w:r>
              <w:rPr>
                <w:rFonts w:ascii="Arial" w:hAnsi="Arial" w:cs="Arial"/>
              </w:rPr>
              <w:t xml:space="preserve"> </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061439" w:rsidP="00173A67">
            <w:pPr>
              <w:rPr>
                <w:rFonts w:ascii="Arial" w:hAnsi="Arial" w:cs="Arial"/>
              </w:rPr>
            </w:pPr>
            <w:hyperlink r:id="rId11"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D55103">
            <w:pPr>
              <w:rPr>
                <w:rFonts w:ascii="Arial" w:hAnsi="Arial" w:cs="Arial"/>
              </w:rPr>
            </w:pPr>
            <w:r>
              <w:rPr>
                <w:rFonts w:ascii="Arial" w:hAnsi="Arial" w:cs="Arial"/>
                <w:b/>
                <w:bCs/>
                <w:sz w:val="20"/>
              </w:rPr>
              <w:t xml:space="preserve">DATE BID ISSUED:  </w:t>
            </w:r>
            <w:r w:rsidR="00D55103">
              <w:rPr>
                <w:rFonts w:ascii="Arial" w:hAnsi="Arial" w:cs="Arial"/>
                <w:b/>
                <w:bCs/>
                <w:sz w:val="20"/>
              </w:rPr>
              <w:t>September 11, 2018</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D55103">
              <w:rPr>
                <w:rFonts w:ascii="Arial" w:hAnsi="Arial" w:cs="Arial"/>
              </w:rPr>
              <w:t>(1)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2"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4"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217C4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17C42">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061439" w:rsidP="00FD4548">
      <w:pPr>
        <w:autoSpaceDE w:val="0"/>
        <w:autoSpaceDN w:val="0"/>
        <w:adjustRightInd w:val="0"/>
        <w:ind w:left="720"/>
        <w:rPr>
          <w:rFonts w:ascii="Arial" w:hAnsi="Arial" w:cs="Arial"/>
          <w:b/>
          <w:sz w:val="20"/>
          <w:szCs w:val="20"/>
        </w:rPr>
      </w:pPr>
      <w:hyperlink r:id="rId15"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6"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7"/>
          <w:footerReference w:type="default" r:id="rId18"/>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9C33DB" w:rsidRDefault="009C33DB" w:rsidP="009C33DB">
      <w:pPr>
        <w:rPr>
          <w:rFonts w:ascii="Arial" w:hAnsi="Arial" w:cs="Arial"/>
          <w:b/>
        </w:rPr>
      </w:pPr>
    </w:p>
    <w:p w:rsidR="009C33DB" w:rsidRDefault="009C33DB" w:rsidP="009C33DB">
      <w:pPr>
        <w:rPr>
          <w:rFonts w:ascii="Arial" w:hAnsi="Arial" w:cs="Arial"/>
          <w:b/>
        </w:rPr>
      </w:pPr>
    </w:p>
    <w:p w:rsidR="009C33DB" w:rsidRDefault="00D30D08" w:rsidP="009C33DB">
      <w:pPr>
        <w:jc w:val="center"/>
        <w:rPr>
          <w:rFonts w:ascii="Arial" w:hAnsi="Arial" w:cs="Arial"/>
          <w:b/>
        </w:rPr>
      </w:pPr>
      <w:r>
        <w:rPr>
          <w:rFonts w:ascii="Arial" w:hAnsi="Arial" w:cs="Arial"/>
          <w:b/>
        </w:rPr>
        <w:t xml:space="preserve">Pricing shall be </w:t>
      </w:r>
      <w:bookmarkStart w:id="0" w:name="_GoBack"/>
      <w:bookmarkEnd w:id="0"/>
      <w:r w:rsidR="009C33DB">
        <w:rPr>
          <w:rFonts w:ascii="Arial" w:hAnsi="Arial" w:cs="Arial"/>
          <w:b/>
        </w:rPr>
        <w:t xml:space="preserve">for a </w:t>
      </w:r>
      <w:r w:rsidR="009C33DB" w:rsidRPr="00061439">
        <w:rPr>
          <w:rFonts w:ascii="Arial" w:hAnsi="Arial" w:cs="Arial"/>
          <w:b/>
          <w:u w:val="single"/>
        </w:rPr>
        <w:t>three year</w:t>
      </w:r>
      <w:r w:rsidR="009C33DB">
        <w:rPr>
          <w:rFonts w:ascii="Arial" w:hAnsi="Arial" w:cs="Arial"/>
          <w:b/>
        </w:rPr>
        <w:t xml:space="preserve"> license and support agreement</w:t>
      </w:r>
    </w:p>
    <w:p w:rsidR="00D30D08" w:rsidRDefault="009C33DB" w:rsidP="00D30D08">
      <w:pPr>
        <w:jc w:val="center"/>
        <w:rPr>
          <w:rFonts w:ascii="Arial" w:hAnsi="Arial" w:cs="Arial"/>
          <w:b/>
        </w:rPr>
      </w:pPr>
      <w:r>
        <w:rPr>
          <w:rFonts w:ascii="Arial" w:hAnsi="Arial" w:cs="Arial"/>
          <w:b/>
        </w:rPr>
        <w:t>10/15/2018-10/14/2021</w:t>
      </w:r>
    </w:p>
    <w:p w:rsidR="009C33DB" w:rsidRDefault="009C33DB" w:rsidP="00D30D08">
      <w:pPr>
        <w:jc w:val="center"/>
        <w:rPr>
          <w:rFonts w:ascii="Arial" w:hAnsi="Arial" w:cs="Arial"/>
          <w:b/>
        </w:rPr>
      </w:pPr>
    </w:p>
    <w:p w:rsidR="009C33DB" w:rsidRDefault="009C33DB" w:rsidP="00D30D08">
      <w:pPr>
        <w:jc w:val="center"/>
        <w:rPr>
          <w:rFonts w:ascii="Arial" w:hAnsi="Arial" w:cs="Arial"/>
          <w:b/>
        </w:rPr>
      </w:pPr>
    </w:p>
    <w:tbl>
      <w:tblPr>
        <w:tblStyle w:val="TableGrid"/>
        <w:tblW w:w="0" w:type="auto"/>
        <w:tblInd w:w="1008" w:type="dxa"/>
        <w:tblLook w:val="04A0" w:firstRow="1" w:lastRow="0" w:firstColumn="1" w:lastColumn="0" w:noHBand="0" w:noVBand="1"/>
      </w:tblPr>
      <w:tblGrid>
        <w:gridCol w:w="1260"/>
        <w:gridCol w:w="900"/>
        <w:gridCol w:w="3510"/>
        <w:gridCol w:w="1440"/>
        <w:gridCol w:w="2250"/>
      </w:tblGrid>
      <w:tr w:rsidR="00D55103" w:rsidTr="00217C42">
        <w:tc>
          <w:tcPr>
            <w:tcW w:w="1260" w:type="dxa"/>
          </w:tcPr>
          <w:p w:rsidR="00D55103" w:rsidRPr="00D55103" w:rsidRDefault="00D55103" w:rsidP="00D30D08">
            <w:pPr>
              <w:jc w:val="center"/>
              <w:rPr>
                <w:rFonts w:ascii="Arial" w:hAnsi="Arial" w:cs="Arial"/>
                <w:b/>
              </w:rPr>
            </w:pPr>
            <w:r w:rsidRPr="00D55103">
              <w:rPr>
                <w:rFonts w:ascii="Arial" w:hAnsi="Arial" w:cs="Arial"/>
                <w:b/>
              </w:rPr>
              <w:t>Quantity</w:t>
            </w:r>
          </w:p>
        </w:tc>
        <w:tc>
          <w:tcPr>
            <w:tcW w:w="900" w:type="dxa"/>
          </w:tcPr>
          <w:p w:rsidR="00D55103" w:rsidRPr="00D55103" w:rsidRDefault="00D55103" w:rsidP="00D30D08">
            <w:pPr>
              <w:jc w:val="center"/>
              <w:rPr>
                <w:rFonts w:ascii="Arial" w:hAnsi="Arial" w:cs="Arial"/>
                <w:b/>
              </w:rPr>
            </w:pPr>
            <w:r w:rsidRPr="00D55103">
              <w:rPr>
                <w:rFonts w:ascii="Arial" w:hAnsi="Arial" w:cs="Arial"/>
                <w:b/>
              </w:rPr>
              <w:t>Unit</w:t>
            </w:r>
          </w:p>
        </w:tc>
        <w:tc>
          <w:tcPr>
            <w:tcW w:w="3510" w:type="dxa"/>
          </w:tcPr>
          <w:p w:rsidR="00D55103" w:rsidRPr="00D55103" w:rsidRDefault="00D55103" w:rsidP="00D30D08">
            <w:pPr>
              <w:jc w:val="center"/>
              <w:rPr>
                <w:rFonts w:ascii="Arial" w:hAnsi="Arial" w:cs="Arial"/>
                <w:b/>
              </w:rPr>
            </w:pPr>
            <w:r w:rsidRPr="00D55103">
              <w:rPr>
                <w:rFonts w:ascii="Arial" w:hAnsi="Arial" w:cs="Arial"/>
                <w:b/>
              </w:rPr>
              <w:t>Item</w:t>
            </w:r>
          </w:p>
        </w:tc>
        <w:tc>
          <w:tcPr>
            <w:tcW w:w="1440" w:type="dxa"/>
          </w:tcPr>
          <w:p w:rsidR="00D55103" w:rsidRPr="00D55103" w:rsidRDefault="00D55103" w:rsidP="00D30D08">
            <w:pPr>
              <w:jc w:val="center"/>
              <w:rPr>
                <w:rFonts w:ascii="Arial" w:hAnsi="Arial" w:cs="Arial"/>
                <w:b/>
              </w:rPr>
            </w:pPr>
            <w:r w:rsidRPr="00D55103">
              <w:rPr>
                <w:rFonts w:ascii="Arial" w:hAnsi="Arial" w:cs="Arial"/>
                <w:b/>
              </w:rPr>
              <w:t>Part #</w:t>
            </w:r>
          </w:p>
        </w:tc>
        <w:tc>
          <w:tcPr>
            <w:tcW w:w="2250" w:type="dxa"/>
          </w:tcPr>
          <w:p w:rsidR="00D55103" w:rsidRPr="00D55103" w:rsidRDefault="00D55103" w:rsidP="00D30D08">
            <w:pPr>
              <w:jc w:val="center"/>
              <w:rPr>
                <w:rFonts w:ascii="Arial" w:hAnsi="Arial" w:cs="Arial"/>
                <w:b/>
              </w:rPr>
            </w:pPr>
            <w:r w:rsidRPr="00D55103">
              <w:rPr>
                <w:rFonts w:ascii="Arial" w:hAnsi="Arial" w:cs="Arial"/>
                <w:b/>
              </w:rPr>
              <w:t>Price</w:t>
            </w:r>
          </w:p>
        </w:tc>
      </w:tr>
      <w:tr w:rsidR="00D55103" w:rsidTr="00217C42">
        <w:tc>
          <w:tcPr>
            <w:tcW w:w="1260" w:type="dxa"/>
          </w:tcPr>
          <w:p w:rsidR="00D55103" w:rsidRPr="00D55103" w:rsidRDefault="00D55103" w:rsidP="00D30D08">
            <w:pPr>
              <w:jc w:val="center"/>
              <w:rPr>
                <w:rFonts w:ascii="Arial" w:hAnsi="Arial" w:cs="Arial"/>
              </w:rPr>
            </w:pPr>
            <w:r w:rsidRPr="00D55103">
              <w:rPr>
                <w:rFonts w:ascii="Arial" w:hAnsi="Arial" w:cs="Arial"/>
              </w:rPr>
              <w:t>1</w:t>
            </w:r>
          </w:p>
        </w:tc>
        <w:tc>
          <w:tcPr>
            <w:tcW w:w="900" w:type="dxa"/>
          </w:tcPr>
          <w:p w:rsidR="00D55103" w:rsidRPr="00D55103" w:rsidRDefault="00D55103" w:rsidP="00D30D08">
            <w:pPr>
              <w:jc w:val="center"/>
              <w:rPr>
                <w:rFonts w:ascii="Arial" w:hAnsi="Arial" w:cs="Arial"/>
              </w:rPr>
            </w:pPr>
            <w:r w:rsidRPr="00D55103">
              <w:rPr>
                <w:rFonts w:ascii="Arial" w:hAnsi="Arial" w:cs="Arial"/>
              </w:rPr>
              <w:t>Ea.</w:t>
            </w:r>
          </w:p>
        </w:tc>
        <w:tc>
          <w:tcPr>
            <w:tcW w:w="3510" w:type="dxa"/>
          </w:tcPr>
          <w:p w:rsidR="00D55103" w:rsidRPr="00D55103" w:rsidRDefault="00D55103" w:rsidP="00D55103">
            <w:pPr>
              <w:tabs>
                <w:tab w:val="left" w:pos="1263"/>
              </w:tabs>
              <w:rPr>
                <w:rFonts w:ascii="Arial" w:hAnsi="Arial" w:cs="Arial"/>
              </w:rPr>
            </w:pPr>
            <w:proofErr w:type="spellStart"/>
            <w:r w:rsidRPr="00D55103">
              <w:rPr>
                <w:rFonts w:ascii="ArialMT" w:hAnsi="ArialMT" w:cs="ArialMT"/>
              </w:rPr>
              <w:t>Splunk</w:t>
            </w:r>
            <w:proofErr w:type="spellEnd"/>
            <w:r w:rsidRPr="00D55103">
              <w:rPr>
                <w:rFonts w:ascii="ArialMT" w:hAnsi="ArialMT" w:cs="ArialMT"/>
              </w:rPr>
              <w:t xml:space="preserve"> Enterprise - Perpetual License - 50gb/Day </w:t>
            </w:r>
            <w:proofErr w:type="spellStart"/>
            <w:r w:rsidRPr="00D55103">
              <w:rPr>
                <w:rFonts w:ascii="ArialMT" w:hAnsi="ArialMT" w:cs="ArialMT"/>
              </w:rPr>
              <w:t>Splunk</w:t>
            </w:r>
            <w:proofErr w:type="spellEnd"/>
          </w:p>
        </w:tc>
        <w:tc>
          <w:tcPr>
            <w:tcW w:w="1440" w:type="dxa"/>
          </w:tcPr>
          <w:p w:rsidR="00D55103" w:rsidRPr="00D55103" w:rsidRDefault="00D55103" w:rsidP="00D55103">
            <w:pPr>
              <w:rPr>
                <w:rFonts w:ascii="Arial" w:hAnsi="Arial" w:cs="Arial"/>
              </w:rPr>
            </w:pPr>
            <w:r w:rsidRPr="00D55103">
              <w:rPr>
                <w:rFonts w:ascii="ArialMT" w:hAnsi="ArialMT" w:cs="ArialMT"/>
              </w:rPr>
              <w:t>SE-P-LIC</w:t>
            </w:r>
          </w:p>
        </w:tc>
        <w:tc>
          <w:tcPr>
            <w:tcW w:w="2250" w:type="dxa"/>
          </w:tcPr>
          <w:p w:rsidR="00D55103" w:rsidRPr="00D55103" w:rsidRDefault="00D55103" w:rsidP="00D30D08">
            <w:pPr>
              <w:jc w:val="center"/>
              <w:rPr>
                <w:rFonts w:ascii="Arial" w:hAnsi="Arial" w:cs="Arial"/>
              </w:rPr>
            </w:pPr>
          </w:p>
        </w:tc>
      </w:tr>
      <w:tr w:rsidR="00D55103" w:rsidTr="00217C42">
        <w:tc>
          <w:tcPr>
            <w:tcW w:w="1260" w:type="dxa"/>
          </w:tcPr>
          <w:p w:rsidR="00D55103" w:rsidRPr="00D55103" w:rsidRDefault="00D55103" w:rsidP="00D30D08">
            <w:pPr>
              <w:jc w:val="center"/>
              <w:rPr>
                <w:rFonts w:ascii="Arial" w:hAnsi="Arial" w:cs="Arial"/>
              </w:rPr>
            </w:pPr>
            <w:r w:rsidRPr="00D55103">
              <w:rPr>
                <w:rFonts w:ascii="Arial" w:hAnsi="Arial" w:cs="Arial"/>
              </w:rPr>
              <w:t>1</w:t>
            </w:r>
          </w:p>
        </w:tc>
        <w:tc>
          <w:tcPr>
            <w:tcW w:w="900" w:type="dxa"/>
          </w:tcPr>
          <w:p w:rsidR="00D55103" w:rsidRPr="00D55103" w:rsidRDefault="00D55103" w:rsidP="00D30D08">
            <w:pPr>
              <w:jc w:val="center"/>
              <w:rPr>
                <w:rFonts w:ascii="Arial" w:hAnsi="Arial" w:cs="Arial"/>
              </w:rPr>
            </w:pPr>
            <w:r w:rsidRPr="00D55103">
              <w:rPr>
                <w:rFonts w:ascii="Arial" w:hAnsi="Arial" w:cs="Arial"/>
              </w:rPr>
              <w:t>Ea.</w:t>
            </w:r>
          </w:p>
        </w:tc>
        <w:tc>
          <w:tcPr>
            <w:tcW w:w="3510" w:type="dxa"/>
          </w:tcPr>
          <w:p w:rsidR="00D55103" w:rsidRPr="00D55103" w:rsidRDefault="00D55103" w:rsidP="00D55103">
            <w:pPr>
              <w:autoSpaceDE w:val="0"/>
              <w:autoSpaceDN w:val="0"/>
              <w:adjustRightInd w:val="0"/>
              <w:rPr>
                <w:rFonts w:ascii="ArialMT" w:hAnsi="ArialMT" w:cs="ArialMT"/>
              </w:rPr>
            </w:pPr>
            <w:proofErr w:type="spellStart"/>
            <w:r w:rsidRPr="00D55103">
              <w:rPr>
                <w:rFonts w:ascii="ArialMT" w:hAnsi="ArialMT" w:cs="ArialMT"/>
              </w:rPr>
              <w:t>Splunk</w:t>
            </w:r>
            <w:proofErr w:type="spellEnd"/>
            <w:r w:rsidRPr="00D55103">
              <w:rPr>
                <w:rFonts w:ascii="ArialMT" w:hAnsi="ArialMT" w:cs="ArialMT"/>
              </w:rPr>
              <w:t xml:space="preserve"> Enterprise - Standard Support</w:t>
            </w:r>
            <w:r>
              <w:rPr>
                <w:rFonts w:ascii="ArialMT" w:hAnsi="ArialMT" w:cs="ArialMT"/>
              </w:rPr>
              <w:t xml:space="preserve"> </w:t>
            </w:r>
            <w:proofErr w:type="spellStart"/>
            <w:r w:rsidRPr="00D55103">
              <w:rPr>
                <w:rFonts w:ascii="ArialMT" w:hAnsi="ArialMT" w:cs="ArialMT"/>
              </w:rPr>
              <w:t>Splunk</w:t>
            </w:r>
            <w:proofErr w:type="spellEnd"/>
          </w:p>
          <w:p w:rsidR="00D55103" w:rsidRPr="00D55103" w:rsidRDefault="00D55103" w:rsidP="00D55103">
            <w:pPr>
              <w:jc w:val="right"/>
              <w:rPr>
                <w:rFonts w:ascii="Arial" w:hAnsi="Arial" w:cs="Arial"/>
              </w:rPr>
            </w:pPr>
          </w:p>
        </w:tc>
        <w:tc>
          <w:tcPr>
            <w:tcW w:w="1440" w:type="dxa"/>
          </w:tcPr>
          <w:p w:rsidR="00D55103" w:rsidRPr="00D55103" w:rsidRDefault="00D55103" w:rsidP="00D55103">
            <w:pPr>
              <w:autoSpaceDE w:val="0"/>
              <w:autoSpaceDN w:val="0"/>
              <w:adjustRightInd w:val="0"/>
              <w:rPr>
                <w:rFonts w:ascii="ArialMT" w:hAnsi="ArialMT" w:cs="ArialMT"/>
              </w:rPr>
            </w:pPr>
            <w:r w:rsidRPr="00D55103">
              <w:rPr>
                <w:rFonts w:ascii="ArialMT" w:hAnsi="ArialMT" w:cs="ArialMT"/>
              </w:rPr>
              <w:t>SE-P-ST</w:t>
            </w:r>
          </w:p>
          <w:p w:rsidR="00D55103" w:rsidRPr="00D55103" w:rsidRDefault="00D55103" w:rsidP="00D55103">
            <w:pPr>
              <w:jc w:val="center"/>
              <w:rPr>
                <w:rFonts w:ascii="Arial" w:hAnsi="Arial" w:cs="Arial"/>
              </w:rPr>
            </w:pPr>
          </w:p>
        </w:tc>
        <w:tc>
          <w:tcPr>
            <w:tcW w:w="2250" w:type="dxa"/>
          </w:tcPr>
          <w:p w:rsidR="00D55103" w:rsidRPr="00D55103" w:rsidRDefault="00D55103" w:rsidP="00D30D08">
            <w:pPr>
              <w:jc w:val="center"/>
              <w:rPr>
                <w:rFonts w:ascii="Arial" w:hAnsi="Arial" w:cs="Arial"/>
              </w:rPr>
            </w:pPr>
          </w:p>
        </w:tc>
      </w:tr>
      <w:tr w:rsidR="00D55103" w:rsidTr="00217C42">
        <w:tc>
          <w:tcPr>
            <w:tcW w:w="1260" w:type="dxa"/>
            <w:shd w:val="clear" w:color="auto" w:fill="BFBFBF" w:themeFill="background1" w:themeFillShade="BF"/>
          </w:tcPr>
          <w:p w:rsidR="00D55103" w:rsidRPr="00D55103" w:rsidRDefault="00D55103" w:rsidP="00D30D08">
            <w:pPr>
              <w:jc w:val="center"/>
              <w:rPr>
                <w:rFonts w:ascii="Arial" w:hAnsi="Arial" w:cs="Arial"/>
              </w:rPr>
            </w:pPr>
          </w:p>
        </w:tc>
        <w:tc>
          <w:tcPr>
            <w:tcW w:w="900" w:type="dxa"/>
            <w:shd w:val="clear" w:color="auto" w:fill="BFBFBF" w:themeFill="background1" w:themeFillShade="BF"/>
          </w:tcPr>
          <w:p w:rsidR="00D55103" w:rsidRPr="00D55103" w:rsidRDefault="00D55103" w:rsidP="00D30D08">
            <w:pPr>
              <w:jc w:val="center"/>
              <w:rPr>
                <w:rFonts w:ascii="Arial" w:hAnsi="Arial" w:cs="Arial"/>
              </w:rPr>
            </w:pPr>
          </w:p>
        </w:tc>
        <w:tc>
          <w:tcPr>
            <w:tcW w:w="3510" w:type="dxa"/>
            <w:shd w:val="clear" w:color="auto" w:fill="BFBFBF" w:themeFill="background1" w:themeFillShade="BF"/>
          </w:tcPr>
          <w:p w:rsidR="00D55103" w:rsidRPr="00D55103" w:rsidRDefault="00D55103" w:rsidP="00D55103">
            <w:pPr>
              <w:autoSpaceDE w:val="0"/>
              <w:autoSpaceDN w:val="0"/>
              <w:adjustRightInd w:val="0"/>
              <w:rPr>
                <w:rFonts w:ascii="ArialMT" w:hAnsi="ArialMT" w:cs="ArialMT"/>
              </w:rPr>
            </w:pPr>
          </w:p>
        </w:tc>
        <w:tc>
          <w:tcPr>
            <w:tcW w:w="1440" w:type="dxa"/>
          </w:tcPr>
          <w:p w:rsidR="00D55103" w:rsidRDefault="00D55103" w:rsidP="00D55103">
            <w:pPr>
              <w:autoSpaceDE w:val="0"/>
              <w:autoSpaceDN w:val="0"/>
              <w:adjustRightInd w:val="0"/>
              <w:jc w:val="right"/>
              <w:rPr>
                <w:rFonts w:ascii="ArialMT" w:hAnsi="ArialMT" w:cs="ArialMT"/>
              </w:rPr>
            </w:pPr>
            <w:r>
              <w:rPr>
                <w:rFonts w:ascii="ArialMT" w:hAnsi="ArialMT" w:cs="ArialMT"/>
              </w:rPr>
              <w:t>TOTAL</w:t>
            </w:r>
          </w:p>
          <w:p w:rsidR="00D55103" w:rsidRPr="00D55103" w:rsidRDefault="00D55103" w:rsidP="00D55103">
            <w:pPr>
              <w:autoSpaceDE w:val="0"/>
              <w:autoSpaceDN w:val="0"/>
              <w:adjustRightInd w:val="0"/>
              <w:jc w:val="right"/>
              <w:rPr>
                <w:rFonts w:ascii="ArialMT" w:hAnsi="ArialMT" w:cs="ArialMT"/>
              </w:rPr>
            </w:pPr>
          </w:p>
        </w:tc>
        <w:tc>
          <w:tcPr>
            <w:tcW w:w="2250" w:type="dxa"/>
          </w:tcPr>
          <w:p w:rsidR="00D55103" w:rsidRPr="00D55103" w:rsidRDefault="00D55103" w:rsidP="00D30D08">
            <w:pPr>
              <w:jc w:val="center"/>
              <w:rPr>
                <w:rFonts w:ascii="Arial" w:hAnsi="Arial" w:cs="Arial"/>
              </w:rPr>
            </w:pPr>
          </w:p>
        </w:tc>
      </w:tr>
    </w:tbl>
    <w:p w:rsidR="00D30D08" w:rsidRDefault="00D30D08"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20"/>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lastRenderedPageBreak/>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lastRenderedPageBreak/>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lastRenderedPageBreak/>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lastRenderedPageBreak/>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lastRenderedPageBreak/>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CE" w:rsidRDefault="00B107CE">
      <w:r>
        <w:separator/>
      </w:r>
    </w:p>
  </w:endnote>
  <w:endnote w:type="continuationSeparator" w:id="0">
    <w:p w:rsidR="00B107CE" w:rsidRDefault="00B1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08" w:rsidRPr="00DE13CB" w:rsidRDefault="00CE4F40"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D55103">
      <w:rPr>
        <w:rFonts w:ascii="Arial" w:hAnsi="Arial" w:cs="Arial"/>
      </w:rPr>
      <w:t>118085</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00072908" w:rsidRPr="00DE13CB">
      <w:rPr>
        <w:rFonts w:ascii="Arial" w:hAnsi="Arial" w:cs="Arial"/>
      </w:rPr>
      <w:fldChar w:fldCharType="begin"/>
    </w:r>
    <w:r w:rsidR="00072908" w:rsidRPr="00DE13CB">
      <w:rPr>
        <w:rFonts w:ascii="Arial" w:hAnsi="Arial" w:cs="Arial"/>
      </w:rPr>
      <w:instrText xml:space="preserve"> PAGE   \* MERGEFORMAT </w:instrText>
    </w:r>
    <w:r w:rsidR="00072908" w:rsidRPr="00DE13CB">
      <w:rPr>
        <w:rFonts w:ascii="Arial" w:hAnsi="Arial" w:cs="Arial"/>
      </w:rPr>
      <w:fldChar w:fldCharType="separate"/>
    </w:r>
    <w:r w:rsidR="00061439">
      <w:rPr>
        <w:rFonts w:ascii="Arial" w:hAnsi="Arial" w:cs="Arial"/>
        <w:noProof/>
      </w:rPr>
      <w:t>7</w:t>
    </w:r>
    <w:r w:rsidR="00072908" w:rsidRPr="00DE13CB">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D" w:rsidRDefault="00C87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77D" w:rsidRDefault="00C87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A6" w:rsidRDefault="00E53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CA6" w:rsidRDefault="00E5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CE" w:rsidRDefault="00B107CE">
      <w:r>
        <w:separator/>
      </w:r>
    </w:p>
  </w:footnote>
  <w:footnote w:type="continuationSeparator" w:id="0">
    <w:p w:rsidR="00B107CE" w:rsidRDefault="00B1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3F" w:rsidRPr="00896A3F" w:rsidRDefault="00896A3F"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B" w:rsidRPr="00896A3F" w:rsidRDefault="00DC4FA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B" w:rsidRPr="00896A3F" w:rsidRDefault="00DC4FAB" w:rsidP="00896A3F">
    <w:pPr>
      <w:pStyle w:val="Header"/>
      <w:jc w:val="right"/>
      <w:rPr>
        <w:rFonts w:ascii="Arial" w:hAnsi="Arial" w:cs="Arial"/>
        <w:b/>
        <w:sz w:val="24"/>
      </w:rPr>
    </w:pPr>
    <w:r w:rsidRPr="00896A3F">
      <w:rPr>
        <w:rFonts w:ascii="Arial" w:hAnsi="Arial" w:cs="Arial"/>
        <w:b/>
        <w:bCs/>
        <w:color w:val="0000FF"/>
        <w:sz w:val="24"/>
      </w:rPr>
      <w:t xml:space="preserve">Section </w:t>
    </w:r>
    <w:r w:rsidR="00217C42">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B" w:rsidRPr="00896A3F" w:rsidRDefault="00DC4FAB" w:rsidP="00896A3F">
    <w:pPr>
      <w:pStyle w:val="Header"/>
      <w:jc w:val="right"/>
      <w:rPr>
        <w:rFonts w:ascii="Arial" w:hAnsi="Arial" w:cs="Arial"/>
        <w:b/>
        <w:sz w:val="24"/>
      </w:rPr>
    </w:pPr>
    <w:r w:rsidRPr="00896A3F">
      <w:rPr>
        <w:rFonts w:ascii="Arial" w:hAnsi="Arial" w:cs="Arial"/>
        <w:b/>
        <w:bCs/>
        <w:color w:val="0000FF"/>
        <w:sz w:val="24"/>
      </w:rPr>
      <w:t xml:space="preserve">Section </w:t>
    </w:r>
    <w:r w:rsidR="00217C42">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61439"/>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17C42"/>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33DB"/>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103"/>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653A0"/>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purchasing.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danepurchasing.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rc.wi.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lrb.gov/" TargetMode="External"/><Relationship Id="rId23" Type="http://schemas.openxmlformats.org/officeDocument/2006/relationships/footer" Target="footer3.xml"/><Relationship Id="rId10" Type="http://schemas.openxmlformats.org/officeDocument/2006/relationships/hyperlink" Target="mailto:Clow.carolyn@countyofdane.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8DB5-0941-4A84-8BDA-0DDFD26A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25758485</Template>
  <TotalTime>36</TotalTime>
  <Pages>11</Pages>
  <Words>6673</Words>
  <Characters>36972</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43558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Ninedorf, Carolyn</cp:lastModifiedBy>
  <cp:revision>4</cp:revision>
  <cp:lastPrinted>2018-09-11T20:50:00Z</cp:lastPrinted>
  <dcterms:created xsi:type="dcterms:W3CDTF">2018-09-11T20:17:00Z</dcterms:created>
  <dcterms:modified xsi:type="dcterms:W3CDTF">2018-09-11T20:55:00Z</dcterms:modified>
</cp:coreProperties>
</file>